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removable storage,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One question remains open, the move-in date of each current tenancy (Chapter 5, recommendation 1).</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recorded as a defect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the edition on which the instrument was built.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left open, the ₱0 of step 23b.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2026-10-13T01:38:23.338Z</dcterms:created>
  <dcterms:modified xsi:type="dcterms:W3CDTF">2026-10-13T01:38:23.339Z</dcterms:modified>
</cp:coreProperties>
</file>

<file path=docProps/custom.xml><?xml version="1.0" encoding="utf-8"?>
<Properties xmlns="http://schemas.openxmlformats.org/officeDocument/2006/custom-properties" xmlns:vt="http://schemas.openxmlformats.org/officeDocument/2006/docPropsVTypes"/>
</file>