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space="2" w:color="1F3A5F"/>
        </w:pBdr>
        <w:spacing w:after="60"/>
      </w:pPr>
      <w:r>
        <w:rPr>
          <w:rFonts w:ascii="Arial" w:hAnsi="Arial" w:cs="Arial"/>
          <w:b/>
          <w:color w:val="1F3A5F"/>
          <w:sz w:val="42"/>
        </w:rPr>
        <w:t>Military Justice / UCMJ Study Guide</w:t>
      </w:r>
    </w:p>
    <w:p>
      <w:pPr>
        <w:spacing w:before="80" w:after="40"/>
      </w:pPr>
      <w:r>
        <w:rPr>
          <w:rFonts w:ascii="Times New Roman" w:hAnsi="Times New Roman" w:cs="Times New Roman"/>
          <w:b/>
          <w:sz w:val="20"/>
        </w:rPr>
        <w:t>Source:</w:t>
      </w:r>
      <w:r>
        <w:rPr>
          <w:rFonts w:ascii="Times New Roman" w:hAnsi="Times New Roman" w:cs="Times New Roman"/>
          <w:sz w:val="20"/>
        </w:rPr>
        <w:t xml:space="preserve"> Overview of Military Justice (39 slides) | </w:t>
      </w:r>
      <w:r>
        <w:rPr>
          <w:rFonts w:ascii="Times New Roman" w:hAnsi="Times New Roman" w:cs="Times New Roman"/>
          <w:b/>
          <w:sz w:val="20"/>
        </w:rPr>
        <w:t>Exam:</w:t>
      </w:r>
      <w:r>
        <w:rPr>
          <w:rFonts w:ascii="Times New Roman" w:hAnsi="Times New Roman" w:cs="Times New Roman"/>
          <w:sz w:val="20"/>
        </w:rPr>
        <w:t xml:space="preserve"> 071-OAXXD012, 40 minutes, multiple choice, 70% to pass</w:t>
      </w:r>
    </w:p>
    <w:p>
      <w:pPr>
        <w:pBdr>
          <w:bottom w:val="single" w:sz="4" w:space="2" w:color="C4C4C4"/>
        </w:pBdr>
        <w:spacing w:before="160" w:after="80"/>
      </w:pPr>
      <w:r>
        <w:rPr>
          <w:rFonts w:ascii="Arial" w:hAnsi="Arial" w:cs="Arial"/>
          <w:b/>
          <w:color w:val="1F3A5F"/>
          <w:sz w:val="26"/>
        </w:rPr>
        <w:t>Contents</w:t>
      </w:r>
    </w:p>
    <w:p>
      <w:pPr>
        <w:keepNext/>
        <w:tabs>
          <w:tab w:pos="9000" w:val="right" w:leader="dot"/>
        </w:tabs>
        <w:spacing w:before="40" w:after="10" w:line="240" w:lineRule="auto"/>
        <w:ind w:left="0" w:firstLine="0"/>
      </w:pPr>
      <w:r>
        <w:fldChar w:fldCharType="begin"/>
      </w:r>
      <w:r>
        <w:instrText xml:space="preserve"> TOC \o "1-2" \h \z \u </w:instrText>
      </w:r>
      <w:r>
        <w:fldChar w:fldCharType="separate"/>
      </w:r>
      <w:r>
        <w:rPr>
          <w:rFonts w:ascii="Arial" w:hAnsi="Arial" w:cs="Arial"/>
          <w:b/>
          <w:color w:val="1F3A5F"/>
          <w:sz w:val="18"/>
        </w:rPr>
        <w:t>TIER 1: Know These Cold</w:t>
      </w:r>
      <w:r>
        <w:rPr>
          <w:rFonts w:ascii="Arial" w:hAnsi="Arial" w:cs="Arial"/>
          <w:b/>
          <w:color w:val="1F3A5F"/>
          <w:sz w:val="17"/>
        </w:rPr>
        <w:tab/>
        <w:t>3</w:t>
      </w:r>
    </w:p>
    <w:p>
      <w:pPr>
        <w:keepNext w:val="0"/>
        <w:tabs>
          <w:tab w:pos="9000" w:val="right" w:leader="dot"/>
        </w:tabs>
        <w:spacing w:before="0" w:after="10" w:line="240" w:lineRule="auto"/>
        <w:ind w:left="288" w:firstLine="0"/>
      </w:pPr>
      <w:r>
        <w:rPr>
          <w:rFonts w:ascii="Times New Roman" w:hAnsi="Times New Roman" w:cs="Times New Roman"/>
          <w:sz w:val="18"/>
        </w:rPr>
        <w:t>1.1 Article 31(b) Rights Warning (Slide 32)</w:t>
      </w:r>
      <w:r>
        <w:rPr>
          <w:rFonts w:ascii="Arial" w:hAnsi="Arial" w:cs="Arial"/>
          <w:sz w:val="17"/>
        </w:rPr>
        <w:tab/>
        <w:t>3</w:t>
      </w:r>
    </w:p>
    <w:p>
      <w:pPr>
        <w:keepNext w:val="0"/>
        <w:tabs>
          <w:tab w:pos="9000" w:val="right" w:leader="dot"/>
        </w:tabs>
        <w:spacing w:before="0" w:after="10" w:line="240" w:lineRule="auto"/>
        <w:ind w:left="288" w:firstLine="0"/>
      </w:pPr>
      <w:r>
        <w:rPr>
          <w:rFonts w:ascii="Times New Roman" w:hAnsi="Times New Roman" w:cs="Times New Roman"/>
          <w:sz w:val="18"/>
        </w:rPr>
        <w:t>1.2 Who May Authorize a Search and Seizure (Slide 27)</w:t>
      </w:r>
      <w:r>
        <w:rPr>
          <w:rFonts w:ascii="Arial" w:hAnsi="Arial" w:cs="Arial"/>
          <w:sz w:val="17"/>
        </w:rPr>
        <w:tab/>
        <w:t>3</w:t>
      </w:r>
    </w:p>
    <w:p>
      <w:pPr>
        <w:keepNext w:val="0"/>
        <w:tabs>
          <w:tab w:pos="9000" w:val="right" w:leader="dot"/>
        </w:tabs>
        <w:spacing w:before="0" w:after="10" w:line="240" w:lineRule="auto"/>
        <w:ind w:left="288" w:firstLine="0"/>
      </w:pPr>
      <w:r>
        <w:rPr>
          <w:rFonts w:ascii="Times New Roman" w:hAnsi="Times New Roman" w:cs="Times New Roman"/>
          <w:sz w:val="18"/>
        </w:rPr>
        <w:t>1.3 Rights of a Soldier Under Article 15 (Slide 11)</w:t>
      </w:r>
      <w:r>
        <w:rPr>
          <w:rFonts w:ascii="Arial" w:hAnsi="Arial" w:cs="Arial"/>
          <w:sz w:val="17"/>
        </w:rPr>
        <w:tab/>
        <w:t>4</w:t>
      </w:r>
    </w:p>
    <w:p>
      <w:pPr>
        <w:keepNext w:val="0"/>
        <w:tabs>
          <w:tab w:pos="9000" w:val="right" w:leader="dot"/>
        </w:tabs>
        <w:spacing w:before="0" w:after="10" w:line="240" w:lineRule="auto"/>
        <w:ind w:left="288" w:firstLine="0"/>
      </w:pPr>
      <w:r>
        <w:rPr>
          <w:rFonts w:ascii="Times New Roman" w:hAnsi="Times New Roman" w:cs="Times New Roman"/>
          <w:sz w:val="18"/>
        </w:rPr>
        <w:t>1.4 Article 15 Commander's Inquiry (Slide 10)</w:t>
      </w:r>
      <w:r>
        <w:rPr>
          <w:rFonts w:ascii="Arial" w:hAnsi="Arial" w:cs="Arial"/>
          <w:sz w:val="17"/>
        </w:rPr>
        <w:tab/>
        <w:t>4</w:t>
      </w:r>
    </w:p>
    <w:p>
      <w:pPr>
        <w:keepNext w:val="0"/>
        <w:tabs>
          <w:tab w:pos="9000" w:val="right" w:leader="dot"/>
        </w:tabs>
        <w:spacing w:before="0" w:after="10" w:line="240" w:lineRule="auto"/>
        <w:ind w:left="288" w:firstLine="0"/>
      </w:pPr>
      <w:r>
        <w:rPr>
          <w:rFonts w:ascii="Times New Roman" w:hAnsi="Times New Roman" w:cs="Times New Roman"/>
          <w:sz w:val="18"/>
        </w:rPr>
        <w:t>1.5 Types of Court-Martial (Slide 12)</w:t>
      </w:r>
      <w:r>
        <w:rPr>
          <w:rFonts w:ascii="Arial" w:hAnsi="Arial" w:cs="Arial"/>
          <w:sz w:val="17"/>
        </w:rPr>
        <w:tab/>
        <w:t>4</w:t>
      </w:r>
    </w:p>
    <w:p>
      <w:pPr>
        <w:keepNext w:val="0"/>
        <w:tabs>
          <w:tab w:pos="9000" w:val="right" w:leader="dot"/>
        </w:tabs>
        <w:spacing w:before="0" w:after="10" w:line="240" w:lineRule="auto"/>
        <w:ind w:left="288" w:firstLine="0"/>
      </w:pPr>
      <w:r>
        <w:rPr>
          <w:rFonts w:ascii="Times New Roman" w:hAnsi="Times New Roman" w:cs="Times New Roman"/>
          <w:sz w:val="18"/>
        </w:rPr>
        <w:t>1.6 Administrative Separations: Characterization of Service (Slide 20)</w:t>
      </w:r>
      <w:r>
        <w:rPr>
          <w:rFonts w:ascii="Arial" w:hAnsi="Arial" w:cs="Arial"/>
          <w:sz w:val="17"/>
        </w:rPr>
        <w:tab/>
        <w:t>4</w:t>
      </w:r>
    </w:p>
    <w:p>
      <w:pPr>
        <w:keepNext w:val="0"/>
        <w:tabs>
          <w:tab w:pos="9000" w:val="right" w:leader="dot"/>
        </w:tabs>
        <w:spacing w:before="0" w:after="10" w:line="240" w:lineRule="auto"/>
        <w:ind w:left="288" w:firstLine="0"/>
      </w:pPr>
      <w:r>
        <w:rPr>
          <w:rFonts w:ascii="Times New Roman" w:hAnsi="Times New Roman" w:cs="Times New Roman"/>
          <w:sz w:val="18"/>
        </w:rPr>
        <w:t>1.7 Separation Board Entitlement (Slide 19)</w:t>
      </w:r>
      <w:r>
        <w:rPr>
          <w:rFonts w:ascii="Arial" w:hAnsi="Arial" w:cs="Arial"/>
          <w:sz w:val="17"/>
        </w:rPr>
        <w:tab/>
        <w:t>5</w:t>
      </w:r>
    </w:p>
    <w:p>
      <w:pPr>
        <w:keepNext w:val="0"/>
        <w:tabs>
          <w:tab w:pos="9000" w:val="right" w:leader="dot"/>
        </w:tabs>
        <w:spacing w:before="0" w:after="10" w:line="240" w:lineRule="auto"/>
        <w:ind w:left="288" w:firstLine="0"/>
      </w:pPr>
      <w:r>
        <w:rPr>
          <w:rFonts w:ascii="Times New Roman" w:hAnsi="Times New Roman" w:cs="Times New Roman"/>
          <w:sz w:val="18"/>
        </w:rPr>
        <w:t>1.8 Chapters for Involuntary Separation (Slides 21 to 22)</w:t>
      </w:r>
      <w:r>
        <w:rPr>
          <w:rFonts w:ascii="Arial" w:hAnsi="Arial" w:cs="Arial"/>
          <w:sz w:val="17"/>
        </w:rPr>
        <w:tab/>
        <w:t>5</w:t>
      </w:r>
    </w:p>
    <w:p>
      <w:pPr>
        <w:keepNext w:val="0"/>
        <w:tabs>
          <w:tab w:pos="9000" w:val="right" w:leader="dot"/>
        </w:tabs>
        <w:spacing w:before="0" w:after="10" w:line="240" w:lineRule="auto"/>
        <w:ind w:left="288" w:firstLine="0"/>
      </w:pPr>
      <w:r>
        <w:rPr>
          <w:rFonts w:ascii="Times New Roman" w:hAnsi="Times New Roman" w:cs="Times New Roman"/>
          <w:sz w:val="18"/>
        </w:rPr>
        <w:t>1.9 Articles 133 and 134 (Slides 5 to 6)</w:t>
      </w:r>
      <w:r>
        <w:rPr>
          <w:rFonts w:ascii="Arial" w:hAnsi="Arial" w:cs="Arial"/>
          <w:sz w:val="17"/>
        </w:rPr>
        <w:tab/>
        <w:t>5</w:t>
      </w:r>
    </w:p>
    <w:p>
      <w:pPr>
        <w:keepNext w:val="0"/>
        <w:tabs>
          <w:tab w:pos="9000" w:val="right" w:leader="dot"/>
        </w:tabs>
        <w:spacing w:before="0" w:after="10" w:line="240" w:lineRule="auto"/>
        <w:ind w:left="288" w:firstLine="0"/>
      </w:pPr>
      <w:r>
        <w:rPr>
          <w:rFonts w:ascii="Times New Roman" w:hAnsi="Times New Roman" w:cs="Times New Roman"/>
          <w:sz w:val="18"/>
        </w:rPr>
        <w:t>1.10 Pretrial Restraint (Slide 35)</w:t>
      </w:r>
      <w:r>
        <w:rPr>
          <w:rFonts w:ascii="Arial" w:hAnsi="Arial" w:cs="Arial"/>
          <w:sz w:val="17"/>
        </w:rPr>
        <w:tab/>
        <w:t>6</w:t>
      </w:r>
    </w:p>
    <w:p>
      <w:pPr>
        <w:keepNext w:val="0"/>
        <w:tabs>
          <w:tab w:pos="9000" w:val="right" w:leader="dot"/>
        </w:tabs>
        <w:spacing w:before="0" w:after="10" w:line="240" w:lineRule="auto"/>
        <w:ind w:left="288" w:firstLine="0"/>
      </w:pPr>
      <w:r>
        <w:rPr>
          <w:rFonts w:ascii="Times New Roman" w:hAnsi="Times New Roman" w:cs="Times New Roman"/>
          <w:sz w:val="18"/>
        </w:rPr>
        <w:t>1.11 Article 32 Preliminary Hearing (Slides 25 to 26)</w:t>
      </w:r>
      <w:r>
        <w:rPr>
          <w:rFonts w:ascii="Arial" w:hAnsi="Arial" w:cs="Arial"/>
          <w:sz w:val="17"/>
        </w:rPr>
        <w:tab/>
        <w:t>6</w:t>
      </w:r>
    </w:p>
    <w:p>
      <w:pPr>
        <w:keepNext w:val="0"/>
        <w:tabs>
          <w:tab w:pos="9000" w:val="right" w:leader="dot"/>
        </w:tabs>
        <w:spacing w:before="0" w:after="10" w:line="240" w:lineRule="auto"/>
        <w:ind w:left="288" w:firstLine="0"/>
      </w:pPr>
      <w:r>
        <w:rPr>
          <w:rFonts w:ascii="Times New Roman" w:hAnsi="Times New Roman" w:cs="Times New Roman"/>
          <w:sz w:val="18"/>
        </w:rPr>
        <w:t>1.12 Mandatory Bar Grounds, Directive 2012-03 (Slide 18)</w:t>
      </w:r>
      <w:r>
        <w:rPr>
          <w:rFonts w:ascii="Arial" w:hAnsi="Arial" w:cs="Arial"/>
          <w:sz w:val="17"/>
        </w:rPr>
        <w:tab/>
        <w:t>6</w:t>
      </w:r>
    </w:p>
    <w:p>
      <w:pPr>
        <w:keepNext w:val="0"/>
        <w:tabs>
          <w:tab w:pos="9000" w:val="right" w:leader="dot"/>
        </w:tabs>
        <w:spacing w:before="0" w:after="10" w:line="240" w:lineRule="auto"/>
        <w:ind w:left="288" w:firstLine="0"/>
      </w:pPr>
      <w:r>
        <w:rPr>
          <w:rFonts w:ascii="Times New Roman" w:hAnsi="Times New Roman" w:cs="Times New Roman"/>
          <w:sz w:val="18"/>
        </w:rPr>
        <w:t>1.13 Counseling Essentials (Slide 14)</w:t>
      </w:r>
      <w:r>
        <w:rPr>
          <w:rFonts w:ascii="Arial" w:hAnsi="Arial" w:cs="Arial"/>
          <w:sz w:val="17"/>
        </w:rPr>
        <w:tab/>
        <w:t>7</w:t>
      </w:r>
    </w:p>
    <w:p>
      <w:pPr>
        <w:keepNext/>
        <w:tabs>
          <w:tab w:pos="9000" w:val="right" w:leader="dot"/>
        </w:tabs>
        <w:spacing w:before="40" w:after="10" w:line="240" w:lineRule="auto"/>
        <w:ind w:left="0" w:firstLine="0"/>
      </w:pPr>
      <w:r>
        <w:rPr>
          <w:rFonts w:ascii="Arial" w:hAnsi="Arial" w:cs="Arial"/>
          <w:b/>
          <w:color w:val="1F3A5F"/>
          <w:sz w:val="18"/>
        </w:rPr>
        <w:t>TIER 2: Likely Tested, Concept Level</w:t>
      </w:r>
      <w:r>
        <w:rPr>
          <w:rFonts w:ascii="Arial" w:hAnsi="Arial" w:cs="Arial"/>
          <w:b/>
          <w:color w:val="1F3A5F"/>
          <w:sz w:val="17"/>
        </w:rPr>
        <w:tab/>
        <w:t>8</w:t>
      </w:r>
    </w:p>
    <w:p>
      <w:pPr>
        <w:keepNext w:val="0"/>
        <w:tabs>
          <w:tab w:pos="9000" w:val="right" w:leader="dot"/>
        </w:tabs>
        <w:spacing w:before="0" w:after="10" w:line="240" w:lineRule="auto"/>
        <w:ind w:left="288" w:firstLine="0"/>
      </w:pPr>
      <w:r>
        <w:rPr>
          <w:rFonts w:ascii="Times New Roman" w:hAnsi="Times New Roman" w:cs="Times New Roman"/>
          <w:sz w:val="18"/>
        </w:rPr>
        <w:t>2.1 UCMJ Jurisdiction (Slide 3)</w:t>
      </w:r>
      <w:r>
        <w:rPr>
          <w:rFonts w:ascii="Arial" w:hAnsi="Arial" w:cs="Arial"/>
          <w:sz w:val="17"/>
        </w:rPr>
        <w:tab/>
        <w:t>8</w:t>
      </w:r>
    </w:p>
    <w:p>
      <w:pPr>
        <w:keepNext w:val="0"/>
        <w:tabs>
          <w:tab w:pos="9000" w:val="right" w:leader="dot"/>
        </w:tabs>
        <w:spacing w:before="0" w:after="10" w:line="240" w:lineRule="auto"/>
        <w:ind w:left="288" w:firstLine="0"/>
      </w:pPr>
      <w:r>
        <w:rPr>
          <w:rFonts w:ascii="Times New Roman" w:hAnsi="Times New Roman" w:cs="Times New Roman"/>
          <w:sz w:val="18"/>
        </w:rPr>
        <w:t>2.2 Inspections Versus Searches (Slide 31)</w:t>
      </w:r>
      <w:r>
        <w:rPr>
          <w:rFonts w:ascii="Arial" w:hAnsi="Arial" w:cs="Arial"/>
          <w:sz w:val="17"/>
        </w:rPr>
        <w:tab/>
        <w:t>8</w:t>
      </w:r>
    </w:p>
    <w:p>
      <w:pPr>
        <w:keepNext w:val="0"/>
        <w:tabs>
          <w:tab w:pos="9000" w:val="right" w:leader="dot"/>
        </w:tabs>
        <w:spacing w:before="0" w:after="10" w:line="240" w:lineRule="auto"/>
        <w:ind w:left="288" w:firstLine="0"/>
      </w:pPr>
      <w:r>
        <w:rPr>
          <w:rFonts w:ascii="Times New Roman" w:hAnsi="Times New Roman" w:cs="Times New Roman"/>
          <w:sz w:val="18"/>
        </w:rPr>
        <w:t>2.3 Search and Seizure Concepts (Slides 28 to 30)</w:t>
      </w:r>
      <w:r>
        <w:rPr>
          <w:rFonts w:ascii="Arial" w:hAnsi="Arial" w:cs="Arial"/>
          <w:sz w:val="17"/>
        </w:rPr>
        <w:tab/>
        <w:t>8</w:t>
      </w:r>
    </w:p>
    <w:p>
      <w:pPr>
        <w:keepNext w:val="0"/>
        <w:tabs>
          <w:tab w:pos="9000" w:val="right" w:leader="dot"/>
        </w:tabs>
        <w:spacing w:before="0" w:after="10" w:line="240" w:lineRule="auto"/>
        <w:ind w:left="288" w:firstLine="0"/>
      </w:pPr>
      <w:r>
        <w:rPr>
          <w:rFonts w:ascii="Times New Roman" w:hAnsi="Times New Roman" w:cs="Times New Roman"/>
          <w:sz w:val="18"/>
        </w:rPr>
        <w:t>2.4 Commander's Responsibilities (Slide 7)</w:t>
      </w:r>
      <w:r>
        <w:rPr>
          <w:rFonts w:ascii="Arial" w:hAnsi="Arial" w:cs="Arial"/>
          <w:sz w:val="17"/>
        </w:rPr>
        <w:tab/>
        <w:t>9</w:t>
      </w:r>
    </w:p>
    <w:p>
      <w:pPr>
        <w:keepNext w:val="0"/>
        <w:tabs>
          <w:tab w:pos="9000" w:val="right" w:leader="dot"/>
        </w:tabs>
        <w:spacing w:before="0" w:after="10" w:line="240" w:lineRule="auto"/>
        <w:ind w:left="288" w:firstLine="0"/>
      </w:pPr>
      <w:r>
        <w:rPr>
          <w:rFonts w:ascii="Times New Roman" w:hAnsi="Times New Roman" w:cs="Times New Roman"/>
          <w:sz w:val="18"/>
        </w:rPr>
        <w:t>2.5 Nonbinding Disposition Guidance (Slide 8)</w:t>
      </w:r>
      <w:r>
        <w:rPr>
          <w:rFonts w:ascii="Arial" w:hAnsi="Arial" w:cs="Arial"/>
          <w:sz w:val="17"/>
        </w:rPr>
        <w:tab/>
        <w:t>9</w:t>
      </w:r>
    </w:p>
    <w:p>
      <w:pPr>
        <w:keepNext w:val="0"/>
        <w:tabs>
          <w:tab w:pos="9000" w:val="right" w:leader="dot"/>
        </w:tabs>
        <w:spacing w:before="0" w:after="10" w:line="240" w:lineRule="auto"/>
        <w:ind w:left="288" w:firstLine="0"/>
      </w:pPr>
      <w:r>
        <w:rPr>
          <w:rFonts w:ascii="Times New Roman" w:hAnsi="Times New Roman" w:cs="Times New Roman"/>
          <w:sz w:val="18"/>
        </w:rPr>
        <w:t>2.6 Corrective Training (Slide 16)</w:t>
      </w:r>
      <w:r>
        <w:rPr>
          <w:rFonts w:ascii="Arial" w:hAnsi="Arial" w:cs="Arial"/>
          <w:sz w:val="17"/>
        </w:rPr>
        <w:tab/>
        <w:t>9</w:t>
      </w:r>
    </w:p>
    <w:p>
      <w:pPr>
        <w:keepNext w:val="0"/>
        <w:tabs>
          <w:tab w:pos="9000" w:val="right" w:leader="dot"/>
        </w:tabs>
        <w:spacing w:before="0" w:after="10" w:line="240" w:lineRule="auto"/>
        <w:ind w:left="288" w:firstLine="0"/>
      </w:pPr>
      <w:r>
        <w:rPr>
          <w:rFonts w:ascii="Times New Roman" w:hAnsi="Times New Roman" w:cs="Times New Roman"/>
          <w:sz w:val="18"/>
        </w:rPr>
        <w:t>2.7 Administrative Reprimand, AR 600-37 (Slide 17)</w:t>
      </w:r>
      <w:r>
        <w:rPr>
          <w:rFonts w:ascii="Arial" w:hAnsi="Arial" w:cs="Arial"/>
          <w:sz w:val="17"/>
        </w:rPr>
        <w:tab/>
        <w:t>10</w:t>
      </w:r>
    </w:p>
    <w:p>
      <w:pPr>
        <w:keepNext w:val="0"/>
        <w:tabs>
          <w:tab w:pos="9000" w:val="right" w:leader="dot"/>
        </w:tabs>
        <w:spacing w:before="0" w:after="10" w:line="240" w:lineRule="auto"/>
        <w:ind w:left="288" w:firstLine="0"/>
      </w:pPr>
      <w:r>
        <w:rPr>
          <w:rFonts w:ascii="Times New Roman" w:hAnsi="Times New Roman" w:cs="Times New Roman"/>
          <w:sz w:val="18"/>
        </w:rPr>
        <w:t>2.8 Inquiries and Investigations (Slides 23 to 24)</w:t>
      </w:r>
      <w:r>
        <w:rPr>
          <w:rFonts w:ascii="Arial" w:hAnsi="Arial" w:cs="Arial"/>
          <w:sz w:val="17"/>
        </w:rPr>
        <w:tab/>
        <w:t>10</w:t>
      </w:r>
    </w:p>
    <w:p>
      <w:pPr>
        <w:keepNext w:val="0"/>
        <w:tabs>
          <w:tab w:pos="9000" w:val="right" w:leader="dot"/>
        </w:tabs>
        <w:spacing w:before="0" w:after="10" w:line="240" w:lineRule="auto"/>
        <w:ind w:left="288" w:firstLine="0"/>
      </w:pPr>
      <w:r>
        <w:rPr>
          <w:rFonts w:ascii="Times New Roman" w:hAnsi="Times New Roman" w:cs="Times New Roman"/>
          <w:sz w:val="18"/>
        </w:rPr>
        <w:t>2.9 Unlawful Command Influence, Core Concept (Slides 36 to 38)</w:t>
      </w:r>
      <w:r>
        <w:rPr>
          <w:rFonts w:ascii="Arial" w:hAnsi="Arial" w:cs="Arial"/>
          <w:sz w:val="17"/>
        </w:rPr>
        <w:tab/>
        <w:t>10</w:t>
      </w:r>
    </w:p>
    <w:p>
      <w:pPr>
        <w:keepNext w:val="0"/>
        <w:tabs>
          <w:tab w:pos="9000" w:val="right" w:leader="dot"/>
        </w:tabs>
        <w:spacing w:before="0" w:after="10" w:line="240" w:lineRule="auto"/>
        <w:ind w:left="288" w:firstLine="0"/>
      </w:pPr>
      <w:r>
        <w:rPr>
          <w:rFonts w:ascii="Times New Roman" w:hAnsi="Times New Roman" w:cs="Times New Roman"/>
          <w:sz w:val="18"/>
        </w:rPr>
        <w:t>2.10 Crimes Under the UCMJ (Slide 4)</w:t>
      </w:r>
      <w:r>
        <w:rPr>
          <w:rFonts w:ascii="Arial" w:hAnsi="Arial" w:cs="Arial"/>
          <w:sz w:val="17"/>
        </w:rPr>
        <w:tab/>
        <w:t>10</w:t>
      </w:r>
    </w:p>
    <w:p>
      <w:pPr>
        <w:keepNext/>
        <w:tabs>
          <w:tab w:pos="9000" w:val="right" w:leader="dot"/>
        </w:tabs>
        <w:spacing w:before="40" w:after="10" w:line="240" w:lineRule="auto"/>
        <w:ind w:left="0" w:firstLine="0"/>
      </w:pPr>
      <w:r>
        <w:rPr>
          <w:rFonts w:ascii="Arial" w:hAnsi="Arial" w:cs="Arial"/>
          <w:b/>
          <w:color w:val="1F3A5F"/>
          <w:sz w:val="18"/>
        </w:rPr>
        <w:t>TIER 3: Reference and Background</w:t>
      </w:r>
      <w:r>
        <w:rPr>
          <w:rFonts w:ascii="Arial" w:hAnsi="Arial" w:cs="Arial"/>
          <w:b/>
          <w:color w:val="1F3A5F"/>
          <w:sz w:val="17"/>
        </w:rPr>
        <w:tab/>
        <w:t>11</w:t>
      </w:r>
    </w:p>
    <w:p>
      <w:pPr>
        <w:keepNext w:val="0"/>
        <w:tabs>
          <w:tab w:pos="9000" w:val="right" w:leader="dot"/>
        </w:tabs>
        <w:spacing w:before="0" w:after="10" w:line="240" w:lineRule="auto"/>
        <w:ind w:left="288" w:firstLine="0"/>
      </w:pPr>
      <w:r>
        <w:rPr>
          <w:rFonts w:ascii="Times New Roman" w:hAnsi="Times New Roman" w:cs="Times New Roman"/>
          <w:sz w:val="18"/>
        </w:rPr>
        <w:t>3.1 Purpose of the Military Justice System (Slide 2)</w:t>
      </w:r>
      <w:r>
        <w:rPr>
          <w:rFonts w:ascii="Arial" w:hAnsi="Arial" w:cs="Arial"/>
          <w:sz w:val="17"/>
        </w:rPr>
        <w:tab/>
        <w:t>11</w:t>
      </w:r>
    </w:p>
    <w:p>
      <w:pPr>
        <w:keepNext w:val="0"/>
        <w:tabs>
          <w:tab w:pos="9000" w:val="right" w:leader="dot"/>
        </w:tabs>
        <w:spacing w:before="0" w:after="10" w:line="240" w:lineRule="auto"/>
        <w:ind w:left="288" w:firstLine="0"/>
      </w:pPr>
      <w:r>
        <w:rPr>
          <w:rFonts w:ascii="Times New Roman" w:hAnsi="Times New Roman" w:cs="Times New Roman"/>
          <w:sz w:val="18"/>
        </w:rPr>
        <w:t>3.2 The 10 Commandments of Unlawful Command Influence (Slides 37 to 38)</w:t>
      </w:r>
      <w:r>
        <w:rPr>
          <w:rFonts w:ascii="Arial" w:hAnsi="Arial" w:cs="Arial"/>
          <w:sz w:val="17"/>
        </w:rPr>
        <w:tab/>
        <w:t>11</w:t>
      </w:r>
    </w:p>
    <w:p>
      <w:pPr>
        <w:keepNext w:val="0"/>
        <w:tabs>
          <w:tab w:pos="9000" w:val="right" w:leader="dot"/>
        </w:tabs>
        <w:spacing w:before="0" w:after="10" w:line="240" w:lineRule="auto"/>
        <w:ind w:left="288" w:firstLine="0"/>
      </w:pPr>
      <w:r>
        <w:rPr>
          <w:rFonts w:ascii="Times New Roman" w:hAnsi="Times New Roman" w:cs="Times New Roman"/>
          <w:sz w:val="18"/>
        </w:rPr>
        <w:t>3.3 Full Administrative Actions List with Regulations (Slide 13)</w:t>
      </w:r>
      <w:r>
        <w:rPr>
          <w:rFonts w:ascii="Arial" w:hAnsi="Arial" w:cs="Arial"/>
          <w:sz w:val="17"/>
        </w:rPr>
        <w:tab/>
        <w:t>11</w:t>
      </w:r>
    </w:p>
    <w:p>
      <w:pPr>
        <w:keepNext w:val="0"/>
        <w:tabs>
          <w:tab w:pos="9000" w:val="right" w:leader="dot"/>
        </w:tabs>
        <w:spacing w:before="0" w:after="10" w:line="240" w:lineRule="auto"/>
        <w:ind w:left="288" w:firstLine="0"/>
      </w:pPr>
      <w:r>
        <w:rPr>
          <w:rFonts w:ascii="Times New Roman" w:hAnsi="Times New Roman" w:cs="Times New Roman"/>
          <w:sz w:val="18"/>
        </w:rPr>
        <w:t>3.4 The Counseling "Magic Phrase" (Slide 15)</w:t>
      </w:r>
      <w:r>
        <w:rPr>
          <w:rFonts w:ascii="Arial" w:hAnsi="Arial" w:cs="Arial"/>
          <w:sz w:val="17"/>
        </w:rPr>
        <w:tab/>
        <w:t>12</w:t>
      </w:r>
    </w:p>
    <w:p>
      <w:pPr>
        <w:keepNext w:val="0"/>
        <w:tabs>
          <w:tab w:pos="9000" w:val="right" w:leader="dot"/>
        </w:tabs>
        <w:spacing w:before="0" w:after="10" w:line="240" w:lineRule="auto"/>
        <w:ind w:left="288" w:firstLine="0"/>
      </w:pPr>
      <w:r>
        <w:rPr>
          <w:rFonts w:ascii="Times New Roman" w:hAnsi="Times New Roman" w:cs="Times New Roman"/>
          <w:sz w:val="18"/>
        </w:rPr>
        <w:t>3.5 The Bar to Continued Service (Slide 18)</w:t>
      </w:r>
      <w:r>
        <w:rPr>
          <w:rFonts w:ascii="Arial" w:hAnsi="Arial" w:cs="Arial"/>
          <w:sz w:val="17"/>
        </w:rPr>
        <w:tab/>
        <w:t>12</w:t>
      </w:r>
    </w:p>
    <w:p>
      <w:pPr>
        <w:keepNext/>
        <w:tabs>
          <w:tab w:pos="9000" w:val="right" w:leader="dot"/>
        </w:tabs>
        <w:spacing w:before="40" w:after="10" w:line="240" w:lineRule="auto"/>
        <w:ind w:left="0" w:firstLine="0"/>
      </w:pPr>
      <w:r>
        <w:rPr>
          <w:rFonts w:ascii="Arial" w:hAnsi="Arial" w:cs="Arial"/>
          <w:b/>
          <w:color w:val="1F3A5F"/>
          <w:sz w:val="18"/>
        </w:rPr>
        <w:t>Rapid Review: Numbers to Memorize</w:t>
      </w:r>
      <w:r>
        <w:rPr>
          <w:rFonts w:ascii="Arial" w:hAnsi="Arial" w:cs="Arial"/>
          <w:b/>
          <w:color w:val="1F3A5F"/>
          <w:sz w:val="17"/>
        </w:rPr>
        <w:tab/>
        <w:t>12</w:t>
      </w:r>
    </w:p>
    <w:p>
      <w:pPr>
        <w:keepNext/>
        <w:tabs>
          <w:tab w:pos="9000" w:val="right" w:leader="dot"/>
        </w:tabs>
        <w:spacing w:before="40" w:after="10" w:line="240" w:lineRule="auto"/>
        <w:ind w:left="0" w:firstLine="0"/>
      </w:pPr>
      <w:r>
        <w:rPr>
          <w:rFonts w:ascii="Arial" w:hAnsi="Arial" w:cs="Arial"/>
          <w:b/>
          <w:color w:val="1F3A5F"/>
          <w:sz w:val="18"/>
        </w:rPr>
        <w:t>The Ten Most Likely Missed Details</w:t>
      </w:r>
      <w:r>
        <w:rPr>
          <w:rFonts w:ascii="Arial" w:hAnsi="Arial" w:cs="Arial"/>
          <w:b/>
          <w:color w:val="1F3A5F"/>
          <w:sz w:val="17"/>
        </w:rPr>
        <w:tab/>
        <w:t>13</w:t>
      </w:r>
    </w:p>
    <w:p>
      <w:pPr>
        <w:keepNext/>
        <w:tabs>
          <w:tab w:pos="9000" w:val="right" w:leader="dot"/>
        </w:tabs>
        <w:spacing w:before="40" w:after="10" w:line="240" w:lineRule="auto"/>
        <w:ind w:left="0" w:firstLine="0"/>
      </w:pPr>
      <w:r>
        <w:rPr>
          <w:rFonts w:ascii="Arial" w:hAnsi="Arial" w:cs="Arial"/>
          <w:b/>
          <w:color w:val="1F3A5F"/>
          <w:sz w:val="18"/>
        </w:rPr>
        <w:t>Addendum: Asked in Class</w:t>
      </w:r>
      <w:r>
        <w:rPr>
          <w:rFonts w:ascii="Arial" w:hAnsi="Arial" w:cs="Arial"/>
          <w:b/>
          <w:color w:val="1F3A5F"/>
          <w:sz w:val="17"/>
        </w:rPr>
        <w:tab/>
        <w:t>14</w:t>
      </w:r>
    </w:p>
    <w:p>
      <w:pPr>
        <w:keepNext w:val="0"/>
        <w:tabs>
          <w:tab w:pos="9000" w:val="right" w:leader="dot"/>
        </w:tabs>
        <w:spacing w:before="0" w:after="10" w:line="240" w:lineRule="auto"/>
        <w:ind w:left="288" w:firstLine="0"/>
      </w:pPr>
      <w:r>
        <w:rPr>
          <w:rFonts w:ascii="Times New Roman" w:hAnsi="Times New Roman" w:cs="Times New Roman"/>
          <w:sz w:val="18"/>
        </w:rPr>
        <w:t>A.1 Apprehension in the home: on post or off post? (Slide 28)</w:t>
      </w:r>
      <w:r>
        <w:rPr>
          <w:rFonts w:ascii="Arial" w:hAnsi="Arial" w:cs="Arial"/>
          <w:sz w:val="17"/>
        </w:rPr>
        <w:tab/>
        <w:t>14</w:t>
      </w:r>
      <w:r>
        <w:fldChar w:fldCharType="end"/>
      </w:r>
    </w:p>
    <w:p>
      <w:pPr>
        <w:pBdr>
          <w:top w:val="single" w:sz="6" w:space="8" w:color="B4B4B4"/>
        </w:pBdr>
        <w:spacing w:after="100" w:line="326" w:lineRule="auto" w:before="160"/>
      </w:pPr>
      <w:r>
        <w:rPr>
          <w:rFonts w:ascii="Times New Roman" w:hAnsi="Times New Roman" w:cs="Times New Roman"/>
          <w:b/>
          <w:sz w:val="22"/>
        </w:rPr>
        <w:t>How to use this guide.</w:t>
      </w:r>
      <w:r>
        <w:rPr>
          <w:rFonts w:ascii="Times New Roman" w:hAnsi="Times New Roman" w:cs="Times New Roman"/>
          <w:sz w:val="22"/>
        </w:rPr>
        <w:t xml:space="preserve"> Everything here comes from the slide deck. Nothing has been added from outside sources, so if it is in this guide it is fair game and if it is not in the deck it is not in this guide. Sections are ordered by how likely the material is to appear on the exam.</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b/>
          <w:sz w:val="22"/>
        </w:rPr>
        <w:t>Tier 1</w:t>
      </w:r>
      <w:r>
        <w:rPr>
          <w:rFonts w:ascii="Times New Roman" w:hAnsi="Times New Roman" w:cs="Times New Roman"/>
          <w:sz w:val="22"/>
        </w:rPr>
        <w:t xml:space="preserve"> is the hard-recall material. Numbered lists, fixed categories, specific counts. This is what multiple choice exams are built out of. Know all of it cold.</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b/>
          <w:sz w:val="22"/>
        </w:rPr>
        <w:t>Tier 2</w:t>
      </w:r>
      <w:r>
        <w:rPr>
          <w:rFonts w:ascii="Times New Roman" w:hAnsi="Times New Roman" w:cs="Times New Roman"/>
          <w:sz w:val="22"/>
        </w:rPr>
        <w:t xml:space="preserve"> is concept material. Likely tested, but usually as "which of these is an example of" rather than pure recall.</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b/>
          <w:sz w:val="22"/>
        </w:rPr>
        <w:t>Tier 3</w:t>
      </w:r>
      <w:r>
        <w:rPr>
          <w:rFonts w:ascii="Times New Roman" w:hAnsi="Times New Roman" w:cs="Times New Roman"/>
          <w:sz w:val="22"/>
        </w:rPr>
        <w:t xml:space="preserve"> is background and reference. Lower probability, but cheap to skim and it makes Tier 1 make sense.</w:t>
      </w:r>
    </w:p>
    <w:p>
      <w:pPr>
        <w:spacing w:after="100" w:line="326" w:lineRule="auto"/>
      </w:pPr>
      <w:r>
        <w:rPr>
          <w:rFonts w:ascii="Times New Roman" w:hAnsi="Times New Roman" w:cs="Times New Roman"/>
          <w:sz w:val="22"/>
        </w:rPr>
        <w:t>A quick self-test note: if you can reproduce every boxed list in Tier 1 from memory on a blank sheet of paper, you are in good shape.</w:t>
      </w:r>
    </w:p>
    <w:p>
      <w:pPr>
        <w:keepNext/>
        <w:pageBreakBefore/>
        <w:pBdr>
          <w:bottom w:val="single" w:sz="16" w:space="2" w:color="1F3A5F"/>
        </w:pBdr>
        <w:spacing w:before="0" w:after="80"/>
        <w:outlineLvl w:val="0"/>
      </w:pPr>
      <w:r>
        <w:rPr>
          <w:rFonts w:ascii="Arial" w:hAnsi="Arial" w:cs="Arial"/>
          <w:b/>
          <w:color w:val="1F3A5F"/>
          <w:sz w:val="36"/>
        </w:rPr>
        <w:t>TIER 1: Know These Cold</w:t>
      </w:r>
    </w:p>
    <w:p>
      <w:pPr>
        <w:keepNext/>
        <w:spacing w:before="100" w:after="160"/>
      </w:pPr>
      <w:r>
        <w:rPr>
          <w:rFonts w:ascii="Times New Roman" w:hAnsi="Times New Roman" w:cs="Times New Roman"/>
          <w:i/>
          <w:color w:val="333333"/>
          <w:sz w:val="21"/>
        </w:rPr>
        <w:t>Tier 1 is the hard-recall material. Numbered lists, fixed categories, specific counts. This is what multiple choice exams are built out of. Know all of it cold.</w:t>
      </w:r>
    </w:p>
    <w:p>
      <w:pPr>
        <w:keepNext/>
        <w:pBdr>
          <w:bottom w:val="single" w:sz="4" w:space="2" w:color="C4C4C4"/>
        </w:pBdr>
        <w:spacing w:before="150" w:after="70"/>
        <w:outlineLvl w:val="1"/>
      </w:pPr>
      <w:r>
        <w:rPr>
          <w:rFonts w:ascii="Arial" w:hAnsi="Arial" w:cs="Arial"/>
          <w:b/>
          <w:color w:val="1F3A5F"/>
          <w:sz w:val="25"/>
        </w:rPr>
        <w:t>1.1 Article 31(b) Rights Warning (Slide 32)</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The four rights a Soldier must be advised of:</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Right to be informed (of the nature of the accusation)</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sz w:val="22"/>
              </w:rPr>
              <w:t>Right to remain silent</w:t>
            </w:r>
          </w:p>
          <w:p>
            <w:pPr>
              <w:tabs>
                <w:tab w:pos="432" w:val="left"/>
              </w:tabs>
              <w:spacing w:after="40" w:before="0" w:line="326" w:lineRule="auto"/>
              <w:ind w:left="432" w:hanging="317"/>
            </w:pPr>
            <w:r>
              <w:rPr>
                <w:rFonts w:ascii="Times New Roman" w:hAnsi="Times New Roman" w:cs="Times New Roman"/>
                <w:sz w:val="22"/>
              </w:rPr>
              <w:t>3.</w:t>
              <w:tab/>
            </w:r>
            <w:r>
              <w:rPr>
                <w:rFonts w:ascii="Times New Roman" w:hAnsi="Times New Roman" w:cs="Times New Roman"/>
                <w:sz w:val="22"/>
              </w:rPr>
              <w:t>Any statement can be used against you</w:t>
            </w:r>
          </w:p>
          <w:p>
            <w:pPr>
              <w:tabs>
                <w:tab w:pos="432" w:val="left"/>
              </w:tabs>
              <w:spacing w:after="0" w:before="0" w:line="326" w:lineRule="auto"/>
              <w:ind w:left="432" w:hanging="317"/>
            </w:pPr>
            <w:r>
              <w:rPr>
                <w:rFonts w:ascii="Times New Roman" w:hAnsi="Times New Roman" w:cs="Times New Roman"/>
                <w:sz w:val="22"/>
              </w:rPr>
              <w:t>4.</w:t>
              <w:tab/>
            </w:r>
            <w:r>
              <w:rPr>
                <w:rFonts w:ascii="Times New Roman" w:hAnsi="Times New Roman" w:cs="Times New Roman"/>
                <w:sz w:val="22"/>
              </w:rPr>
              <w:t>Right to counsel</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b/>
          <w:sz w:val="22"/>
        </w:rPr>
        <w:t>Memory hook:</w:t>
      </w:r>
      <w:r>
        <w:rPr>
          <w:rFonts w:ascii="Times New Roman" w:hAnsi="Times New Roman" w:cs="Times New Roman"/>
          <w:sz w:val="22"/>
        </w:rPr>
        <w:t xml:space="preserve"> Informed, Silent, Used, Counsel.</w:t>
      </w:r>
    </w:p>
    <w:p>
      <w:pPr>
        <w:keepNext/>
        <w:spacing w:before="160" w:after="80"/>
      </w:pPr>
      <w:r>
        <w:rPr>
          <w:rFonts w:ascii="Arial" w:hAnsi="Arial" w:cs="Arial"/>
          <w:b/>
          <w:sz w:val="21"/>
        </w:rPr>
        <w:t>When you must advise (Slide 33)</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All three conditions, together:</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 xml:space="preserve">You are acting in an </w:t>
            </w:r>
            <w:r>
              <w:rPr>
                <w:rFonts w:ascii="Times New Roman" w:hAnsi="Times New Roman" w:cs="Times New Roman"/>
                <w:b/>
                <w:sz w:val="22"/>
              </w:rPr>
              <w:t>official capacity</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sz w:val="22"/>
              </w:rPr>
              <w:t xml:space="preserve">It is </w:t>
            </w:r>
            <w:r>
              <w:rPr>
                <w:rFonts w:ascii="Times New Roman" w:hAnsi="Times New Roman" w:cs="Times New Roman"/>
                <w:b/>
                <w:sz w:val="22"/>
              </w:rPr>
              <w:t>prior to questioning</w:t>
            </w:r>
          </w:p>
          <w:p>
            <w:pPr>
              <w:tabs>
                <w:tab w:pos="432" w:val="left"/>
              </w:tabs>
              <w:spacing w:after="0" w:before="0" w:line="326" w:lineRule="auto"/>
              <w:ind w:left="432" w:hanging="317"/>
            </w:pPr>
            <w:r>
              <w:rPr>
                <w:rFonts w:ascii="Times New Roman" w:hAnsi="Times New Roman" w:cs="Times New Roman"/>
                <w:sz w:val="22"/>
              </w:rPr>
              <w:t>3.</w:t>
              <w:tab/>
            </w:r>
            <w:r>
              <w:rPr>
                <w:rFonts w:ascii="Times New Roman" w:hAnsi="Times New Roman" w:cs="Times New Roman"/>
                <w:sz w:val="22"/>
              </w:rPr>
              <w:t xml:space="preserve">The person is a </w:t>
            </w:r>
            <w:r>
              <w:rPr>
                <w:rFonts w:ascii="Times New Roman" w:hAnsi="Times New Roman" w:cs="Times New Roman"/>
                <w:b/>
                <w:sz w:val="22"/>
              </w:rPr>
              <w:t>suspect or accused</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sz w:val="22"/>
        </w:rPr>
        <w:t>This is a common trap. A casual conversation with someone who is not a suspect does not trigger the warning. Watch for exam questions that strip out one of the three conditions.</w:t>
      </w:r>
    </w:p>
    <w:p>
      <w:pPr>
        <w:keepNext/>
        <w:spacing w:before="160" w:after="80"/>
      </w:pPr>
      <w:r>
        <w:rPr>
          <w:rFonts w:ascii="Arial" w:hAnsi="Arial" w:cs="Arial"/>
          <w:b/>
          <w:sz w:val="21"/>
        </w:rPr>
        <w:t>Waiver of rights (Slide 34)</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The three questions asked to obtain a waiver:</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Do you understand your rights?</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sz w:val="22"/>
              </w:rPr>
              <w:t>Do you want a lawyer?</w:t>
            </w:r>
          </w:p>
          <w:p>
            <w:pPr>
              <w:tabs>
                <w:tab w:pos="432" w:val="left"/>
              </w:tabs>
              <w:spacing w:after="0" w:before="0" w:line="326" w:lineRule="auto"/>
              <w:ind w:left="432" w:hanging="317"/>
            </w:pPr>
            <w:r>
              <w:rPr>
                <w:rFonts w:ascii="Times New Roman" w:hAnsi="Times New Roman" w:cs="Times New Roman"/>
                <w:sz w:val="22"/>
              </w:rPr>
              <w:t>3.</w:t>
              <w:tab/>
            </w:r>
            <w:r>
              <w:rPr>
                <w:rFonts w:ascii="Times New Roman" w:hAnsi="Times New Roman" w:cs="Times New Roman"/>
                <w:sz w:val="22"/>
              </w:rPr>
              <w:t>Are you willing to make a statement?</w:t>
            </w:r>
          </w:p>
        </w:tc>
      </w:tr>
    </w:tbl>
    <w:p>
      <w:pPr>
        <w:spacing w:after="0" w:line="240" w:lineRule="auto"/>
      </w:pPr>
      <w:r>
        <w:rPr>
          <w:rFonts w:ascii="Times New Roman" w:hAnsi="Times New Roman" w:cs="Times New Roman"/>
          <w:sz w:val="6"/>
        </w:rPr>
      </w:r>
    </w:p>
    <w:p>
      <w:pPr>
        <w:keepNext/>
        <w:pBdr>
          <w:bottom w:val="single" w:sz="4" w:space="2" w:color="C4C4C4"/>
        </w:pBdr>
        <w:spacing w:before="150" w:after="70"/>
        <w:outlineLvl w:val="1"/>
      </w:pPr>
      <w:r>
        <w:rPr>
          <w:rFonts w:ascii="Arial" w:hAnsi="Arial" w:cs="Arial"/>
          <w:b/>
          <w:color w:val="1F3A5F"/>
          <w:sz w:val="25"/>
        </w:rPr>
        <w:t>1.2 Who May Authorize a Search and Seizure (Slide 27)</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Only three:</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b/>
                <w:sz w:val="22"/>
              </w:rPr>
              <w:t>Commander</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b/>
                <w:sz w:val="22"/>
              </w:rPr>
              <w:t>Military Judge</w:t>
            </w:r>
          </w:p>
          <w:p>
            <w:pPr>
              <w:tabs>
                <w:tab w:pos="432" w:val="left"/>
              </w:tabs>
              <w:spacing w:after="0" w:before="0" w:line="326" w:lineRule="auto"/>
              <w:ind w:left="432" w:hanging="317"/>
            </w:pPr>
            <w:r>
              <w:rPr>
                <w:rFonts w:ascii="Times New Roman" w:hAnsi="Times New Roman" w:cs="Times New Roman"/>
                <w:sz w:val="22"/>
              </w:rPr>
              <w:t>3.</w:t>
              <w:tab/>
            </w:r>
            <w:r>
              <w:rPr>
                <w:rFonts w:ascii="Times New Roman" w:hAnsi="Times New Roman" w:cs="Times New Roman"/>
                <w:b/>
                <w:sz w:val="22"/>
              </w:rPr>
              <w:t>Military Magistrate</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sz w:val="22"/>
        </w:rPr>
        <w:t>That is the complete list. Any answer choice adding First Sergeant, Platoon Leader, MP, CID, or Staff Judge Advocate to that list is wrong.</w:t>
      </w:r>
    </w:p>
    <w:p>
      <w:pPr>
        <w:keepNext/>
        <w:pBdr>
          <w:bottom w:val="single" w:sz="4" w:space="2" w:color="C4C4C4"/>
        </w:pBdr>
        <w:spacing w:before="150" w:after="70"/>
        <w:outlineLvl w:val="1"/>
      </w:pPr>
      <w:r>
        <w:rPr>
          <w:rFonts w:ascii="Arial" w:hAnsi="Arial" w:cs="Arial"/>
          <w:b/>
          <w:color w:val="1F3A5F"/>
          <w:sz w:val="25"/>
        </w:rPr>
        <w:t>1.3 Rights of a Soldier Under Article 15 (Slide 11)</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Seven rights:</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Right to remain silent</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sz w:val="22"/>
              </w:rPr>
              <w:t>Right to counsel (</w:t>
            </w:r>
            <w:r>
              <w:rPr>
                <w:rFonts w:ascii="Times New Roman" w:hAnsi="Times New Roman" w:cs="Times New Roman"/>
                <w:b/>
                <w:sz w:val="22"/>
              </w:rPr>
              <w:t>formal proceedings only</w:t>
            </w:r>
            <w:r>
              <w:rPr>
                <w:rFonts w:ascii="Times New Roman" w:hAnsi="Times New Roman" w:cs="Times New Roman"/>
                <w:sz w:val="22"/>
              </w:rPr>
              <w:t>)</w:t>
            </w:r>
          </w:p>
          <w:p>
            <w:pPr>
              <w:tabs>
                <w:tab w:pos="432" w:val="left"/>
              </w:tabs>
              <w:spacing w:after="40" w:before="0" w:line="326" w:lineRule="auto"/>
              <w:ind w:left="432" w:hanging="317"/>
            </w:pPr>
            <w:r>
              <w:rPr>
                <w:rFonts w:ascii="Times New Roman" w:hAnsi="Times New Roman" w:cs="Times New Roman"/>
                <w:sz w:val="22"/>
              </w:rPr>
              <w:t>3.</w:t>
              <w:tab/>
            </w:r>
            <w:r>
              <w:rPr>
                <w:rFonts w:ascii="Times New Roman" w:hAnsi="Times New Roman" w:cs="Times New Roman"/>
                <w:sz w:val="22"/>
              </w:rPr>
              <w:t>Right to demand trial</w:t>
            </w:r>
          </w:p>
          <w:p>
            <w:pPr>
              <w:tabs>
                <w:tab w:pos="432" w:val="left"/>
              </w:tabs>
              <w:spacing w:after="40" w:before="0" w:line="326" w:lineRule="auto"/>
              <w:ind w:left="432" w:hanging="317"/>
            </w:pPr>
            <w:r>
              <w:rPr>
                <w:rFonts w:ascii="Times New Roman" w:hAnsi="Times New Roman" w:cs="Times New Roman"/>
                <w:sz w:val="22"/>
              </w:rPr>
              <w:t>4.</w:t>
              <w:tab/>
            </w:r>
            <w:r>
              <w:rPr>
                <w:rFonts w:ascii="Times New Roman" w:hAnsi="Times New Roman" w:cs="Times New Roman"/>
                <w:sz w:val="22"/>
              </w:rPr>
              <w:t>Decision period</w:t>
            </w:r>
          </w:p>
          <w:p>
            <w:pPr>
              <w:tabs>
                <w:tab w:pos="432" w:val="left"/>
              </w:tabs>
              <w:spacing w:after="40" w:before="0" w:line="326" w:lineRule="auto"/>
              <w:ind w:left="432" w:hanging="317"/>
            </w:pPr>
            <w:r>
              <w:rPr>
                <w:rFonts w:ascii="Times New Roman" w:hAnsi="Times New Roman" w:cs="Times New Roman"/>
                <w:sz w:val="22"/>
              </w:rPr>
              <w:t>5.</w:t>
              <w:tab/>
            </w:r>
            <w:r>
              <w:rPr>
                <w:rFonts w:ascii="Times New Roman" w:hAnsi="Times New Roman" w:cs="Times New Roman"/>
                <w:sz w:val="22"/>
              </w:rPr>
              <w:t>Right to call witnesses</w:t>
            </w:r>
          </w:p>
          <w:p>
            <w:pPr>
              <w:tabs>
                <w:tab w:pos="432" w:val="left"/>
              </w:tabs>
              <w:spacing w:after="40" w:before="0" w:line="326" w:lineRule="auto"/>
              <w:ind w:left="432" w:hanging="317"/>
            </w:pPr>
            <w:r>
              <w:rPr>
                <w:rFonts w:ascii="Times New Roman" w:hAnsi="Times New Roman" w:cs="Times New Roman"/>
                <w:sz w:val="22"/>
              </w:rPr>
              <w:t>6.</w:t>
              <w:tab/>
            </w:r>
            <w:r>
              <w:rPr>
                <w:rFonts w:ascii="Times New Roman" w:hAnsi="Times New Roman" w:cs="Times New Roman"/>
                <w:sz w:val="22"/>
              </w:rPr>
              <w:t>The hearing</w:t>
            </w:r>
          </w:p>
          <w:p>
            <w:pPr>
              <w:tabs>
                <w:tab w:pos="432" w:val="left"/>
              </w:tabs>
              <w:spacing w:after="0" w:before="0" w:line="326" w:lineRule="auto"/>
              <w:ind w:left="432" w:hanging="317"/>
            </w:pPr>
            <w:r>
              <w:rPr>
                <w:rFonts w:ascii="Times New Roman" w:hAnsi="Times New Roman" w:cs="Times New Roman"/>
                <w:sz w:val="22"/>
              </w:rPr>
              <w:t>7.</w:t>
              <w:tab/>
            </w:r>
            <w:r>
              <w:rPr>
                <w:rFonts w:ascii="Times New Roman" w:hAnsi="Times New Roman" w:cs="Times New Roman"/>
                <w:sz w:val="22"/>
              </w:rPr>
              <w:t>The right to appeal</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b/>
          <w:sz w:val="22"/>
        </w:rPr>
        <w:t>The most testable detail here:</w:t>
      </w:r>
      <w:r>
        <w:rPr>
          <w:rFonts w:ascii="Times New Roman" w:hAnsi="Times New Roman" w:cs="Times New Roman"/>
          <w:sz w:val="22"/>
        </w:rPr>
        <w:t xml:space="preserve"> right to counsel attaches to </w:t>
      </w:r>
      <w:r>
        <w:rPr>
          <w:rFonts w:ascii="Times New Roman" w:hAnsi="Times New Roman" w:cs="Times New Roman"/>
          <w:b/>
          <w:sz w:val="22"/>
        </w:rPr>
        <w:t>formal</w:t>
      </w:r>
      <w:r>
        <w:rPr>
          <w:rFonts w:ascii="Times New Roman" w:hAnsi="Times New Roman" w:cs="Times New Roman"/>
          <w:sz w:val="22"/>
        </w:rPr>
        <w:t xml:space="preserve"> proceedings only. Expect that qualifier to be tested directly.</w:t>
      </w:r>
    </w:p>
    <w:p>
      <w:pPr>
        <w:keepNext/>
        <w:pBdr>
          <w:bottom w:val="single" w:sz="4" w:space="2" w:color="C4C4C4"/>
        </w:pBdr>
        <w:spacing w:before="150" w:after="70"/>
        <w:outlineLvl w:val="1"/>
      </w:pPr>
      <w:r>
        <w:rPr>
          <w:rFonts w:ascii="Arial" w:hAnsi="Arial" w:cs="Arial"/>
          <w:b/>
          <w:color w:val="1F3A5F"/>
          <w:sz w:val="25"/>
        </w:rPr>
        <w:t>1.4 Article 15 Commander's Inquiry (Slide 10)</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Before imposing NJP, the commander should inquire about three things:</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 xml:space="preserve">Whether an </w:t>
            </w:r>
            <w:r>
              <w:rPr>
                <w:rFonts w:ascii="Times New Roman" w:hAnsi="Times New Roman" w:cs="Times New Roman"/>
                <w:b/>
                <w:sz w:val="22"/>
              </w:rPr>
              <w:t>offense</w:t>
            </w:r>
            <w:r>
              <w:rPr>
                <w:rFonts w:ascii="Times New Roman" w:hAnsi="Times New Roman" w:cs="Times New Roman"/>
                <w:sz w:val="22"/>
              </w:rPr>
              <w:t xml:space="preserve"> was committed</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sz w:val="22"/>
              </w:rPr>
              <w:t xml:space="preserve">Whether the </w:t>
            </w:r>
            <w:r>
              <w:rPr>
                <w:rFonts w:ascii="Times New Roman" w:hAnsi="Times New Roman" w:cs="Times New Roman"/>
                <w:b/>
                <w:sz w:val="22"/>
              </w:rPr>
              <w:t>Soldier was involved</w:t>
            </w:r>
          </w:p>
          <w:p>
            <w:pPr>
              <w:tabs>
                <w:tab w:pos="432" w:val="left"/>
              </w:tabs>
              <w:spacing w:after="0" w:before="0" w:line="326" w:lineRule="auto"/>
              <w:ind w:left="432" w:hanging="317"/>
            </w:pPr>
            <w:r>
              <w:rPr>
                <w:rFonts w:ascii="Times New Roman" w:hAnsi="Times New Roman" w:cs="Times New Roman"/>
                <w:sz w:val="22"/>
              </w:rPr>
              <w:t>3.</w:t>
              <w:tab/>
            </w:r>
            <w:r>
              <w:rPr>
                <w:rFonts w:ascii="Times New Roman" w:hAnsi="Times New Roman" w:cs="Times New Roman"/>
                <w:sz w:val="22"/>
              </w:rPr>
              <w:t xml:space="preserve">The </w:t>
            </w:r>
            <w:r>
              <w:rPr>
                <w:rFonts w:ascii="Times New Roman" w:hAnsi="Times New Roman" w:cs="Times New Roman"/>
                <w:b/>
                <w:sz w:val="22"/>
              </w:rPr>
              <w:t>character and military record</w:t>
            </w:r>
            <w:r>
              <w:rPr>
                <w:rFonts w:ascii="Times New Roman" w:hAnsi="Times New Roman" w:cs="Times New Roman"/>
                <w:sz w:val="22"/>
              </w:rPr>
              <w:t xml:space="preserve"> of the Soldier</w:t>
            </w:r>
          </w:p>
        </w:tc>
      </w:tr>
    </w:tbl>
    <w:p>
      <w:pPr>
        <w:spacing w:after="0" w:line="240" w:lineRule="auto"/>
      </w:pPr>
      <w:r>
        <w:rPr>
          <w:rFonts w:ascii="Times New Roman" w:hAnsi="Times New Roman" w:cs="Times New Roman"/>
          <w:sz w:val="6"/>
        </w:rPr>
      </w:r>
    </w:p>
    <w:p>
      <w:pPr>
        <w:keepNext/>
        <w:pBdr>
          <w:bottom w:val="single" w:sz="4" w:space="2" w:color="C4C4C4"/>
        </w:pBdr>
        <w:spacing w:before="150" w:after="70"/>
        <w:outlineLvl w:val="1"/>
      </w:pPr>
      <w:r>
        <w:rPr>
          <w:rFonts w:ascii="Arial" w:hAnsi="Arial" w:cs="Arial"/>
          <w:b/>
          <w:color w:val="1F3A5F"/>
          <w:sz w:val="25"/>
        </w:rPr>
        <w:t>1.5 Types of Court-Martial (Slide 12)</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Three levels:</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b/>
                <w:sz w:val="22"/>
              </w:rPr>
              <w:t>Summary</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b/>
                <w:sz w:val="22"/>
              </w:rPr>
              <w:t>Special</w:t>
            </w:r>
            <w:r>
              <w:rPr>
                <w:rFonts w:ascii="Times New Roman" w:hAnsi="Times New Roman" w:cs="Times New Roman"/>
                <w:sz w:val="22"/>
              </w:rPr>
              <w:t xml:space="preserve"> (two types)</w:t>
            </w:r>
          </w:p>
          <w:p>
            <w:pPr>
              <w:tabs>
                <w:tab w:pos="432" w:val="left"/>
              </w:tabs>
              <w:spacing w:after="0" w:before="0" w:line="326" w:lineRule="auto"/>
              <w:ind w:left="432" w:hanging="317"/>
            </w:pPr>
            <w:r>
              <w:rPr>
                <w:rFonts w:ascii="Times New Roman" w:hAnsi="Times New Roman" w:cs="Times New Roman"/>
                <w:sz w:val="22"/>
              </w:rPr>
              <w:t>3.</w:t>
              <w:tab/>
            </w:r>
            <w:r>
              <w:rPr>
                <w:rFonts w:ascii="Times New Roman" w:hAnsi="Times New Roman" w:cs="Times New Roman"/>
                <w:b/>
                <w:sz w:val="22"/>
              </w:rPr>
              <w:t>General</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sz w:val="22"/>
        </w:rPr>
        <w:t>Note the parenthetical on Special. If the exam asks how many types of special court-martial exist, the answer from this deck is two.</w:t>
      </w:r>
    </w:p>
    <w:p>
      <w:pPr>
        <w:keepNext/>
        <w:pBdr>
          <w:bottom w:val="single" w:sz="4" w:space="2" w:color="C4C4C4"/>
        </w:pBdr>
        <w:spacing w:before="150" w:after="70"/>
        <w:outlineLvl w:val="1"/>
      </w:pPr>
      <w:r>
        <w:rPr>
          <w:rFonts w:ascii="Arial" w:hAnsi="Arial" w:cs="Arial"/>
          <w:b/>
          <w:color w:val="1F3A5F"/>
          <w:sz w:val="25"/>
        </w:rPr>
        <w:t>1.6 Administrative Separations: Characterization of Service (Slide 20)</w:t>
      </w:r>
    </w:p>
    <w:tbl>
      <w:tblPr>
        <w:tblStyle w:val="TableGrid"/>
        <w:tblW w:type="auto" w:w="0"/>
        <w:jc w:val="left"/>
        <w:tblBorders>
          <w:top w:val="single" w:sz="4" w:space="0" w:color="A8A8A8"/>
          <w:left w:val="single" w:sz="4" w:space="0" w:color="A8A8A8"/>
          <w:bottom w:val="single" w:sz="4" w:space="0" w:color="A8A8A8"/>
          <w:right w:val="single" w:sz="4" w:space="0" w:color="A8A8A8"/>
          <w:insideH w:val="single" w:sz="4" w:space="0" w:color="A8A8A8"/>
          <w:insideV w:val="single" w:sz="4" w:space="0" w:color="A8A8A8"/>
        </w:tblBorders>
        <w:tblLook w:firstColumn="1" w:firstRow="1" w:lastColumn="0" w:lastRow="0" w:noHBand="0" w:noVBand="1" w:val="04A0"/>
      </w:tblPr>
      <w:tblGrid>
        <w:gridCol w:w="3000"/>
        <w:gridCol w:w="3000"/>
        <w:gridCol w:w="3000"/>
      </w:tblGrid>
      <w:tr>
        <w:trPr>
          <w:tblHeader/>
        </w:trPr>
        <w:tc>
          <w:tcPr>
            <w:tcW w:type="dxa" w:w="3000"/>
            <w:shd w:val="clear" w:color="auto" w:fill="E6E6E6"/>
            <w:tcMar>
              <w:top w:w="50" w:type="dxa"/>
              <w:start w:w="86" w:type="dxa"/>
              <w:bottom w:w="50" w:type="dxa"/>
              <w:end w:w="86" w:type="dxa"/>
            </w:tcMar>
          </w:tcPr>
          <w:p>
            <w:pPr>
              <w:spacing w:after="0" w:line="276" w:lineRule="auto"/>
            </w:pPr>
            <w:r>
              <w:rPr>
                <w:rFonts w:ascii="Arial" w:hAnsi="Arial" w:cs="Arial"/>
                <w:b/>
                <w:sz w:val="19"/>
              </w:rPr>
              <w:t>Characterization</w:t>
            </w:r>
          </w:p>
        </w:tc>
        <w:tc>
          <w:tcPr>
            <w:tcW w:type="dxa" w:w="3000"/>
            <w:shd w:val="clear" w:color="auto" w:fill="E6E6E6"/>
            <w:tcMar>
              <w:top w:w="50" w:type="dxa"/>
              <w:start w:w="86" w:type="dxa"/>
              <w:bottom w:w="50" w:type="dxa"/>
              <w:end w:w="86" w:type="dxa"/>
            </w:tcMar>
          </w:tcPr>
          <w:p>
            <w:pPr>
              <w:spacing w:after="0" w:line="276" w:lineRule="auto"/>
            </w:pPr>
            <w:r>
              <w:rPr>
                <w:rFonts w:ascii="Arial" w:hAnsi="Arial" w:cs="Arial"/>
                <w:b/>
                <w:sz w:val="19"/>
              </w:rPr>
              <w:t>Trigger</w:t>
            </w:r>
          </w:p>
        </w:tc>
        <w:tc>
          <w:tcPr>
            <w:tcW w:type="dxa" w:w="3000"/>
            <w:shd w:val="clear" w:color="auto" w:fill="E6E6E6"/>
            <w:tcMar>
              <w:top w:w="50" w:type="dxa"/>
              <w:start w:w="86" w:type="dxa"/>
              <w:bottom w:w="50" w:type="dxa"/>
              <w:end w:w="86" w:type="dxa"/>
            </w:tcMar>
          </w:tcPr>
          <w:p>
            <w:pPr>
              <w:spacing w:after="0" w:line="276" w:lineRule="auto"/>
            </w:pPr>
            <w:r>
              <w:rPr>
                <w:rFonts w:ascii="Arial" w:hAnsi="Arial" w:cs="Arial"/>
                <w:b/>
                <w:sz w:val="19"/>
              </w:rPr>
              <w:t>Benefits</w:t>
            </w:r>
          </w:p>
        </w:tc>
      </w:tr>
      <w:tr>
        <w:tc>
          <w:tcPr>
            <w:tcW w:type="dxa" w:w="3000"/>
            <w:tcMar>
              <w:top w:w="43" w:type="dxa"/>
              <w:start w:w="86" w:type="dxa"/>
              <w:bottom w:w="43" w:type="dxa"/>
              <w:end w:w="86" w:type="dxa"/>
            </w:tcMar>
          </w:tcPr>
          <w:p>
            <w:pPr>
              <w:spacing w:after="0" w:line="288" w:lineRule="auto"/>
            </w:pPr>
            <w:r>
              <w:rPr>
                <w:rFonts w:ascii="Times New Roman" w:hAnsi="Times New Roman" w:cs="Times New Roman"/>
                <w:b/>
                <w:sz w:val="20"/>
              </w:rPr>
              <w:t>Honorable</w:t>
            </w:r>
          </w:p>
        </w:tc>
        <w:tc>
          <w:tcPr>
            <w:tcW w:type="dxa" w:w="3000"/>
            <w:tcMar>
              <w:top w:w="43" w:type="dxa"/>
              <w:start w:w="86" w:type="dxa"/>
              <w:bottom w:w="43" w:type="dxa"/>
              <w:end w:w="86" w:type="dxa"/>
            </w:tcMar>
          </w:tcPr>
          <w:p>
            <w:pPr>
              <w:spacing w:after="0" w:line="288" w:lineRule="auto"/>
            </w:pPr>
            <w:r>
              <w:rPr>
                <w:rFonts w:ascii="Times New Roman" w:hAnsi="Times New Roman" w:cs="Times New Roman"/>
                <w:sz w:val="20"/>
              </w:rPr>
              <w:t>No misconduct</w:t>
            </w:r>
          </w:p>
        </w:tc>
        <w:tc>
          <w:tcPr>
            <w:tcW w:type="dxa" w:w="3000"/>
            <w:tcMar>
              <w:top w:w="43" w:type="dxa"/>
              <w:start w:w="86" w:type="dxa"/>
              <w:bottom w:w="43" w:type="dxa"/>
              <w:end w:w="86" w:type="dxa"/>
            </w:tcMar>
          </w:tcPr>
          <w:p>
            <w:pPr>
              <w:spacing w:after="0" w:line="288" w:lineRule="auto"/>
            </w:pPr>
            <w:r>
              <w:rPr>
                <w:rFonts w:ascii="Times New Roman" w:hAnsi="Times New Roman" w:cs="Times New Roman"/>
                <w:sz w:val="20"/>
              </w:rPr>
              <w:t>Entitled to all benefits</w:t>
            </w:r>
          </w:p>
        </w:tc>
      </w:tr>
      <w:tr>
        <w:tc>
          <w:tcPr>
            <w:tcW w:type="dxa" w:w="3000"/>
            <w:tcMar>
              <w:top w:w="43" w:type="dxa"/>
              <w:start w:w="86" w:type="dxa"/>
              <w:bottom w:w="43" w:type="dxa"/>
              <w:end w:w="86" w:type="dxa"/>
            </w:tcMar>
          </w:tcPr>
          <w:p>
            <w:pPr>
              <w:spacing w:after="0" w:line="288" w:lineRule="auto"/>
            </w:pPr>
            <w:r>
              <w:rPr>
                <w:rFonts w:ascii="Times New Roman" w:hAnsi="Times New Roman" w:cs="Times New Roman"/>
                <w:b/>
                <w:sz w:val="20"/>
              </w:rPr>
              <w:t>General</w:t>
            </w:r>
          </w:p>
        </w:tc>
        <w:tc>
          <w:tcPr>
            <w:tcW w:type="dxa" w:w="3000"/>
            <w:tcMar>
              <w:top w:w="43" w:type="dxa"/>
              <w:start w:w="86" w:type="dxa"/>
              <w:bottom w:w="43" w:type="dxa"/>
              <w:end w:w="86" w:type="dxa"/>
            </w:tcMar>
          </w:tcPr>
          <w:p>
            <w:pPr>
              <w:spacing w:after="0" w:line="288" w:lineRule="auto"/>
            </w:pPr>
            <w:r>
              <w:rPr>
                <w:rFonts w:ascii="Times New Roman" w:hAnsi="Times New Roman" w:cs="Times New Roman"/>
                <w:sz w:val="20"/>
              </w:rPr>
              <w:t>Minor misconduct</w:t>
            </w:r>
          </w:p>
        </w:tc>
        <w:tc>
          <w:tcPr>
            <w:tcW w:type="dxa" w:w="3000"/>
            <w:tcMar>
              <w:top w:w="43" w:type="dxa"/>
              <w:start w:w="86" w:type="dxa"/>
              <w:bottom w:w="43" w:type="dxa"/>
              <w:end w:w="86" w:type="dxa"/>
            </w:tcMar>
          </w:tcPr>
          <w:p>
            <w:pPr>
              <w:spacing w:after="0" w:line="288" w:lineRule="auto"/>
            </w:pPr>
            <w:r>
              <w:rPr>
                <w:rFonts w:ascii="Times New Roman" w:hAnsi="Times New Roman" w:cs="Times New Roman"/>
                <w:sz w:val="20"/>
              </w:rPr>
              <w:t>Entitled to most benefits</w:t>
            </w:r>
          </w:p>
        </w:tc>
      </w:tr>
      <w:tr>
        <w:tc>
          <w:tcPr>
            <w:tcW w:type="dxa" w:w="3000"/>
            <w:tcMar>
              <w:top w:w="43" w:type="dxa"/>
              <w:start w:w="86" w:type="dxa"/>
              <w:bottom w:w="43" w:type="dxa"/>
              <w:end w:w="86" w:type="dxa"/>
            </w:tcMar>
          </w:tcPr>
          <w:p>
            <w:pPr>
              <w:spacing w:after="0" w:line="288" w:lineRule="auto"/>
            </w:pPr>
            <w:r>
              <w:rPr>
                <w:rFonts w:ascii="Times New Roman" w:hAnsi="Times New Roman" w:cs="Times New Roman"/>
                <w:b/>
                <w:sz w:val="20"/>
              </w:rPr>
              <w:t>Other Than Honorable (OTH)</w:t>
            </w:r>
          </w:p>
        </w:tc>
        <w:tc>
          <w:tcPr>
            <w:tcW w:type="dxa" w:w="3000"/>
            <w:tcMar>
              <w:top w:w="43" w:type="dxa"/>
              <w:start w:w="86" w:type="dxa"/>
              <w:bottom w:w="43" w:type="dxa"/>
              <w:end w:w="86" w:type="dxa"/>
            </w:tcMar>
          </w:tcPr>
          <w:p>
            <w:pPr>
              <w:spacing w:after="0" w:line="288" w:lineRule="auto"/>
            </w:pPr>
            <w:r>
              <w:rPr>
                <w:rFonts w:ascii="Times New Roman" w:hAnsi="Times New Roman" w:cs="Times New Roman"/>
                <w:sz w:val="20"/>
              </w:rPr>
              <w:t xml:space="preserve">More serious misconduct; </w:t>
            </w:r>
            <w:r>
              <w:rPr>
                <w:rFonts w:ascii="Times New Roman" w:hAnsi="Times New Roman" w:cs="Times New Roman"/>
                <w:b/>
                <w:sz w:val="20"/>
              </w:rPr>
              <w:t>requires a board</w:t>
            </w:r>
          </w:p>
        </w:tc>
        <w:tc>
          <w:tcPr>
            <w:tcW w:type="dxa" w:w="3000"/>
            <w:tcMar>
              <w:top w:w="43" w:type="dxa"/>
              <w:start w:w="86" w:type="dxa"/>
              <w:bottom w:w="43" w:type="dxa"/>
              <w:end w:w="86" w:type="dxa"/>
            </w:tcMar>
          </w:tcPr>
          <w:p>
            <w:pPr>
              <w:spacing w:after="0" w:line="288" w:lineRule="auto"/>
            </w:pPr>
            <w:r>
              <w:rPr>
                <w:rFonts w:ascii="Times New Roman" w:hAnsi="Times New Roman" w:cs="Times New Roman"/>
                <w:sz w:val="20"/>
              </w:rPr>
              <w:t>Forfeits most benefits</w:t>
            </w:r>
          </w:p>
        </w:tc>
      </w:tr>
    </w:tbl>
    <w:p>
      <w:pPr>
        <w:spacing w:after="0" w:line="240" w:lineRule="auto"/>
      </w:pPr>
      <w:r>
        <w:rPr>
          <w:rFonts w:ascii="Times New Roman" w:hAnsi="Times New Roman" w:cs="Times New Roman"/>
          <w:sz w:val="8"/>
        </w:rPr>
      </w:r>
    </w:p>
    <w:p>
      <w:pPr>
        <w:spacing w:after="100" w:line="326" w:lineRule="auto"/>
      </w:pPr>
      <w:r>
        <w:rPr>
          <w:rFonts w:ascii="Times New Roman" w:hAnsi="Times New Roman" w:cs="Times New Roman"/>
          <w:b/>
          <w:sz w:val="22"/>
        </w:rPr>
        <w:t>Standard of proof:</w:t>
      </w:r>
      <w:r>
        <w:rPr>
          <w:rFonts w:ascii="Times New Roman" w:hAnsi="Times New Roman" w:cs="Times New Roman"/>
          <w:sz w:val="22"/>
        </w:rPr>
        <w:t xml:space="preserve"> Preponderance of the evidence (more likely than not).</w:t>
      </w:r>
    </w:p>
    <w:p>
      <w:pPr>
        <w:keepNext/>
        <w:pBdr>
          <w:bottom w:val="single" w:sz="4" w:space="2" w:color="C4C4C4"/>
        </w:pBdr>
        <w:spacing w:before="150" w:after="70"/>
        <w:outlineLvl w:val="1"/>
      </w:pPr>
      <w:r>
        <w:rPr>
          <w:rFonts w:ascii="Arial" w:hAnsi="Arial" w:cs="Arial"/>
          <w:b/>
          <w:color w:val="1F3A5F"/>
          <w:sz w:val="25"/>
        </w:rPr>
        <w:t>1.7 Separation Board Entitlement (Slide 19)</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A Soldier's rights in an administrative separation:</w:t>
            </w:r>
          </w:p>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sz w:val="22"/>
              </w:rPr>
              <w:t>Notice and opportunity to respond</w:t>
            </w:r>
          </w:p>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sz w:val="22"/>
              </w:rPr>
              <w:t>Attorney (consultation or board representation)</w:t>
            </w:r>
          </w:p>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Hearing (separation board) </w:t>
            </w:r>
            <w:r>
              <w:rPr>
                <w:rFonts w:ascii="Times New Roman" w:hAnsi="Times New Roman" w:cs="Times New Roman"/>
                <w:b/>
                <w:sz w:val="22"/>
              </w:rPr>
              <w:t>if either</w:t>
            </w:r>
            <w:r>
              <w:rPr>
                <w:rFonts w:ascii="Times New Roman" w:hAnsi="Times New Roman" w:cs="Times New Roman"/>
                <w:sz w:val="22"/>
              </w:rPr>
              <w:t xml:space="preserve"> of the following:</w:t>
            </w:r>
          </w:p>
          <w:p>
            <w:pPr>
              <w:tabs>
                <w:tab w:pos="864" w:val="left"/>
              </w:tabs>
              <w:spacing w:after="40" w:before="0" w:line="326" w:lineRule="auto"/>
              <w:ind w:left="864" w:hanging="317"/>
            </w:pPr>
            <w:r>
              <w:rPr>
                <w:rFonts w:ascii="Times New Roman" w:hAnsi="Times New Roman" w:cs="Times New Roman"/>
                <w:sz w:val="22"/>
              </w:rPr>
              <w:t>◦</w:t>
              <w:tab/>
            </w:r>
            <w:r>
              <w:rPr>
                <w:rFonts w:ascii="Times New Roman" w:hAnsi="Times New Roman" w:cs="Times New Roman"/>
                <w:sz w:val="22"/>
              </w:rPr>
              <w:t xml:space="preserve">More than </w:t>
            </w:r>
            <w:r>
              <w:rPr>
                <w:rFonts w:ascii="Times New Roman" w:hAnsi="Times New Roman" w:cs="Times New Roman"/>
                <w:b/>
                <w:sz w:val="22"/>
              </w:rPr>
              <w:t>6 years</w:t>
            </w:r>
            <w:r>
              <w:rPr>
                <w:rFonts w:ascii="Times New Roman" w:hAnsi="Times New Roman" w:cs="Times New Roman"/>
                <w:sz w:val="22"/>
              </w:rPr>
              <w:t xml:space="preserve"> of service, </w:t>
            </w:r>
            <w:r>
              <w:rPr>
                <w:rFonts w:ascii="Times New Roman" w:hAnsi="Times New Roman" w:cs="Times New Roman"/>
                <w:b/>
                <w:sz w:val="22"/>
              </w:rPr>
              <w:t>OR</w:t>
            </w:r>
          </w:p>
          <w:p>
            <w:pPr>
              <w:tabs>
                <w:tab w:pos="864" w:val="left"/>
              </w:tabs>
              <w:spacing w:after="0" w:before="0" w:line="326" w:lineRule="auto"/>
              <w:ind w:left="864" w:hanging="317"/>
            </w:pPr>
            <w:r>
              <w:rPr>
                <w:rFonts w:ascii="Times New Roman" w:hAnsi="Times New Roman" w:cs="Times New Roman"/>
                <w:sz w:val="22"/>
              </w:rPr>
              <w:t>◦</w:t>
              <w:tab/>
            </w:r>
            <w:r>
              <w:rPr>
                <w:rFonts w:ascii="Times New Roman" w:hAnsi="Times New Roman" w:cs="Times New Roman"/>
                <w:b/>
                <w:sz w:val="22"/>
              </w:rPr>
              <w:t>OTH</w:t>
            </w:r>
            <w:r>
              <w:rPr>
                <w:rFonts w:ascii="Times New Roman" w:hAnsi="Times New Roman" w:cs="Times New Roman"/>
                <w:sz w:val="22"/>
              </w:rPr>
              <w:t xml:space="preserve"> discharge recommendation</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sz w:val="22"/>
        </w:rPr>
        <w:t>The "OR" matters. Either condition alone entitles the Soldier to a board. Expect an answer choice that incorrectly makes it "AND."</w:t>
      </w:r>
    </w:p>
    <w:p>
      <w:pPr>
        <w:keepNext/>
        <w:pBdr>
          <w:bottom w:val="single" w:sz="4" w:space="2" w:color="C4C4C4"/>
        </w:pBdr>
        <w:spacing w:before="150" w:after="70"/>
        <w:outlineLvl w:val="1"/>
      </w:pPr>
      <w:r>
        <w:rPr>
          <w:rFonts w:ascii="Arial" w:hAnsi="Arial" w:cs="Arial"/>
          <w:b/>
          <w:color w:val="1F3A5F"/>
          <w:sz w:val="25"/>
        </w:rPr>
        <w:t>1.8 Chapters for Involuntary Separation (Slides 21 to 22)</w:t>
      </w:r>
    </w:p>
    <w:tbl>
      <w:tblPr>
        <w:tblStyle w:val="TableGrid"/>
        <w:tblW w:type="auto" w:w="0"/>
        <w:jc w:val="left"/>
        <w:tblBorders>
          <w:top w:val="single" w:sz="4" w:space="0" w:color="A8A8A8"/>
          <w:left w:val="single" w:sz="4" w:space="0" w:color="A8A8A8"/>
          <w:bottom w:val="single" w:sz="4" w:space="0" w:color="A8A8A8"/>
          <w:right w:val="single" w:sz="4" w:space="0" w:color="A8A8A8"/>
          <w:insideH w:val="single" w:sz="4" w:space="0" w:color="A8A8A8"/>
          <w:insideV w:val="single" w:sz="4" w:space="0" w:color="A8A8A8"/>
        </w:tblBorders>
        <w:tblLook w:firstColumn="1" w:firstRow="1" w:lastColumn="0" w:lastRow="0" w:noHBand="0" w:noVBand="1" w:val="04A0"/>
      </w:tblPr>
      <w:tblGrid>
        <w:gridCol w:w="4500"/>
        <w:gridCol w:w="4500"/>
      </w:tblGrid>
      <w:tr>
        <w:trPr>
          <w:tblHeader/>
        </w:trPr>
        <w:tc>
          <w:tcPr>
            <w:tcW w:type="dxa" w:w="4500"/>
            <w:shd w:val="clear" w:color="auto" w:fill="E6E6E6"/>
            <w:tcMar>
              <w:top w:w="50" w:type="dxa"/>
              <w:start w:w="86" w:type="dxa"/>
              <w:bottom w:w="50" w:type="dxa"/>
              <w:end w:w="86" w:type="dxa"/>
            </w:tcMar>
          </w:tcPr>
          <w:p>
            <w:pPr>
              <w:spacing w:after="0" w:line="276" w:lineRule="auto"/>
            </w:pPr>
            <w:r>
              <w:rPr>
                <w:rFonts w:ascii="Arial" w:hAnsi="Arial" w:cs="Arial"/>
                <w:b/>
                <w:sz w:val="19"/>
              </w:rPr>
              <w:t>Chapter</w:t>
            </w:r>
          </w:p>
        </w:tc>
        <w:tc>
          <w:tcPr>
            <w:tcW w:type="dxa" w:w="4500"/>
            <w:shd w:val="clear" w:color="auto" w:fill="E6E6E6"/>
            <w:tcMar>
              <w:top w:w="50" w:type="dxa"/>
              <w:start w:w="86" w:type="dxa"/>
              <w:bottom w:w="50" w:type="dxa"/>
              <w:end w:w="86" w:type="dxa"/>
            </w:tcMar>
          </w:tcPr>
          <w:p>
            <w:pPr>
              <w:spacing w:after="0" w:line="276" w:lineRule="auto"/>
            </w:pPr>
            <w:r>
              <w:rPr>
                <w:rFonts w:ascii="Arial" w:hAnsi="Arial" w:cs="Arial"/>
                <w:b/>
                <w:sz w:val="19"/>
              </w:rPr>
              <w:t>Basis</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5</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Convenience of the Government</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5-8</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Parenthood</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5-13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Personality Disorder</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5-17</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Other designated physical or mental condition</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7</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Defective / Fraudulent Entry</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9</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Alcohol / Drug Abuse Rehabilitation Failure</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11</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Entry Level Performance and Conduct</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13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Unsatisfactory Performance</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14</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Misconduct</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14-12a</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Minor Disciplinary Infractions</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14-12b</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Pattern of Misconduct</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14-12c</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Serious Misconduct</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18</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Failure to Meet Body Fat Standards</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CH 19</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Qualitative Management Program</w:t>
            </w:r>
          </w:p>
        </w:tc>
      </w:tr>
    </w:tbl>
    <w:p>
      <w:pPr>
        <w:spacing w:after="0" w:line="240" w:lineRule="auto"/>
      </w:pPr>
      <w:r>
        <w:rPr>
          <w:rFonts w:ascii="Times New Roman" w:hAnsi="Times New Roman" w:cs="Times New Roman"/>
          <w:sz w:val="8"/>
        </w:rPr>
      </w:r>
    </w:p>
    <w:p>
      <w:pPr>
        <w:spacing w:after="100" w:line="326" w:lineRule="auto"/>
      </w:pPr>
      <w:r>
        <w:rPr>
          <w:rFonts w:ascii="Times New Roman" w:hAnsi="Times New Roman" w:cs="Times New Roman"/>
          <w:sz w:val="22"/>
        </w:rPr>
        <w:t>The 14-12 subseries (a, b, c escalating from minor to serious) is the most likely thing pulled out of this table.</w:t>
      </w:r>
    </w:p>
    <w:p>
      <w:pPr>
        <w:keepNext/>
        <w:pBdr>
          <w:bottom w:val="single" w:sz="4" w:space="2" w:color="C4C4C4"/>
        </w:pBdr>
        <w:spacing w:before="150" w:after="70"/>
        <w:outlineLvl w:val="1"/>
      </w:pPr>
      <w:r>
        <w:rPr>
          <w:rFonts w:ascii="Arial" w:hAnsi="Arial" w:cs="Arial"/>
          <w:b/>
          <w:color w:val="1F3A5F"/>
          <w:sz w:val="25"/>
        </w:rPr>
        <w:t>1.9 Articles 133 and 134 (Slides 5 to 6)</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b/>
                <w:sz w:val="22"/>
              </w:rPr>
              <w:t>Article 133:</w:t>
            </w:r>
            <w:r>
              <w:rPr>
                <w:rFonts w:ascii="Times New Roman" w:hAnsi="Times New Roman" w:cs="Times New Roman"/>
                <w:sz w:val="22"/>
              </w:rPr>
              <w:t xml:space="preserve"> Conduct Unbecoming an Officer and a Gentleman</w:t>
            </w:r>
          </w:p>
          <w:p>
            <w:pPr>
              <w:tabs>
                <w:tab w:pos="432" w:val="left"/>
              </w:tabs>
              <w:spacing w:after="0" w:before="0" w:line="326" w:lineRule="auto"/>
              <w:ind w:left="432" w:hanging="317"/>
            </w:pPr>
            <w:r>
              <w:rPr>
                <w:rFonts w:ascii="Times New Roman" w:hAnsi="Times New Roman" w:cs="Times New Roman"/>
                <w:sz w:val="22"/>
              </w:rPr>
              <w:t>•</w:t>
              <w:tab/>
            </w:r>
            <w:r>
              <w:rPr>
                <w:rFonts w:ascii="Times New Roman" w:hAnsi="Times New Roman" w:cs="Times New Roman"/>
                <w:b/>
                <w:sz w:val="22"/>
              </w:rPr>
              <w:t>Article 134:</w:t>
            </w:r>
            <w:r>
              <w:rPr>
                <w:rFonts w:ascii="Times New Roman" w:hAnsi="Times New Roman" w:cs="Times New Roman"/>
                <w:sz w:val="22"/>
              </w:rPr>
              <w:t xml:space="preserve"> Conduct Prejudicial to Good Order and Discipline</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sz w:val="22"/>
        </w:rPr>
        <w:t>Two adjacent articles with similar-sounding names. Drill the pairing until it is automatic, because a swapped-number answer choice is the easiest distractor to write.</w:t>
      </w:r>
    </w:p>
    <w:p>
      <w:pPr>
        <w:keepNext/>
        <w:pBdr>
          <w:bottom w:val="single" w:sz="4" w:space="2" w:color="C4C4C4"/>
        </w:pBdr>
        <w:spacing w:before="150" w:after="70"/>
        <w:outlineLvl w:val="1"/>
      </w:pPr>
      <w:r>
        <w:rPr>
          <w:rFonts w:ascii="Arial" w:hAnsi="Arial" w:cs="Arial"/>
          <w:b/>
          <w:color w:val="1F3A5F"/>
          <w:sz w:val="25"/>
        </w:rPr>
        <w:t>1.10 Pretrial Restraint (Slide 35)</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Four types, least to most restrictive:</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b/>
                <w:sz w:val="22"/>
              </w:rPr>
              <w:t>Conditions on liberty</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b/>
                <w:sz w:val="22"/>
              </w:rPr>
              <w:t>Restriction</w:t>
            </w:r>
            <w:r>
              <w:rPr>
                <w:rFonts w:ascii="Times New Roman" w:hAnsi="Times New Roman" w:cs="Times New Roman"/>
                <w:sz w:val="22"/>
              </w:rPr>
              <w:t xml:space="preserve"> (in lieu of arrest)</w:t>
            </w:r>
          </w:p>
          <w:p>
            <w:pPr>
              <w:tabs>
                <w:tab w:pos="432" w:val="left"/>
              </w:tabs>
              <w:spacing w:after="40" w:before="0" w:line="326" w:lineRule="auto"/>
              <w:ind w:left="432" w:hanging="317"/>
            </w:pPr>
            <w:r>
              <w:rPr>
                <w:rFonts w:ascii="Times New Roman" w:hAnsi="Times New Roman" w:cs="Times New Roman"/>
                <w:sz w:val="22"/>
              </w:rPr>
              <w:t>3.</w:t>
              <w:tab/>
            </w:r>
            <w:r>
              <w:rPr>
                <w:rFonts w:ascii="Times New Roman" w:hAnsi="Times New Roman" w:cs="Times New Roman"/>
                <w:b/>
                <w:sz w:val="22"/>
              </w:rPr>
              <w:t>Arrest</w:t>
            </w:r>
          </w:p>
          <w:p>
            <w:pPr>
              <w:tabs>
                <w:tab w:pos="432" w:val="left"/>
              </w:tabs>
              <w:spacing w:after="0" w:before="0" w:line="326" w:lineRule="auto"/>
              <w:ind w:left="432" w:hanging="317"/>
            </w:pPr>
            <w:r>
              <w:rPr>
                <w:rFonts w:ascii="Times New Roman" w:hAnsi="Times New Roman" w:cs="Times New Roman"/>
                <w:sz w:val="22"/>
              </w:rPr>
              <w:t>4.</w:t>
              <w:tab/>
            </w:r>
            <w:r>
              <w:rPr>
                <w:rFonts w:ascii="Times New Roman" w:hAnsi="Times New Roman" w:cs="Times New Roman"/>
                <w:b/>
                <w:sz w:val="22"/>
              </w:rPr>
              <w:t>Confinement</w:t>
            </w:r>
          </w:p>
        </w:tc>
      </w:tr>
    </w:tbl>
    <w:p>
      <w:pPr>
        <w:spacing w:after="0" w:line="240" w:lineRule="auto"/>
      </w:pPr>
      <w:r>
        <w:rPr>
          <w:rFonts w:ascii="Times New Roman" w:hAnsi="Times New Roman" w:cs="Times New Roman"/>
          <w:sz w:val="6"/>
        </w:rPr>
      </w:r>
    </w:p>
    <w:p>
      <w:pPr>
        <w:keepNext/>
        <w:pBdr>
          <w:bottom w:val="single" w:sz="4" w:space="2" w:color="C4C4C4"/>
        </w:pBdr>
        <w:spacing w:before="150" w:after="70"/>
        <w:outlineLvl w:val="1"/>
      </w:pPr>
      <w:r>
        <w:rPr>
          <w:rFonts w:ascii="Arial" w:hAnsi="Arial" w:cs="Arial"/>
          <w:b/>
          <w:color w:val="1F3A5F"/>
          <w:sz w:val="25"/>
        </w:rPr>
        <w:t>1.11 Article 32 Preliminary Hearing (Slides 25 to 26)</w:t>
      </w:r>
    </w:p>
    <w:p>
      <w:pPr>
        <w:keepNext/>
        <w:spacing w:before="160" w:after="80"/>
      </w:pPr>
      <w:r>
        <w:rPr>
          <w:rFonts w:ascii="Arial" w:hAnsi="Arial" w:cs="Arial"/>
          <w:b/>
          <w:sz w:val="21"/>
        </w:rPr>
        <w:t>Rights of the accused at the hearing</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Attend the hearing</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sz w:val="22"/>
              </w:rPr>
              <w:t>Present evidence</w:t>
            </w:r>
          </w:p>
          <w:p>
            <w:pPr>
              <w:tabs>
                <w:tab w:pos="432" w:val="left"/>
              </w:tabs>
              <w:spacing w:after="40" w:before="0" w:line="326" w:lineRule="auto"/>
              <w:ind w:left="432" w:hanging="317"/>
            </w:pPr>
            <w:r>
              <w:rPr>
                <w:rFonts w:ascii="Times New Roman" w:hAnsi="Times New Roman" w:cs="Times New Roman"/>
                <w:sz w:val="22"/>
              </w:rPr>
              <w:t>3.</w:t>
              <w:tab/>
            </w:r>
            <w:r>
              <w:rPr>
                <w:rFonts w:ascii="Times New Roman" w:hAnsi="Times New Roman" w:cs="Times New Roman"/>
                <w:sz w:val="22"/>
              </w:rPr>
              <w:t>Cross examine witnesses</w:t>
            </w:r>
          </w:p>
          <w:p>
            <w:pPr>
              <w:tabs>
                <w:tab w:pos="432" w:val="left"/>
              </w:tabs>
              <w:spacing w:after="0" w:before="0" w:line="326" w:lineRule="auto"/>
              <w:ind w:left="432" w:hanging="317"/>
            </w:pPr>
            <w:r>
              <w:rPr>
                <w:rFonts w:ascii="Times New Roman" w:hAnsi="Times New Roman" w:cs="Times New Roman"/>
                <w:sz w:val="22"/>
              </w:rPr>
              <w:t>4.</w:t>
              <w:tab/>
            </w:r>
            <w:r>
              <w:rPr>
                <w:rFonts w:ascii="Times New Roman" w:hAnsi="Times New Roman" w:cs="Times New Roman"/>
                <w:sz w:val="22"/>
              </w:rPr>
              <w:t>Right to counsel</w:t>
            </w:r>
          </w:p>
        </w:tc>
      </w:tr>
    </w:tbl>
    <w:p>
      <w:pPr>
        <w:spacing w:after="0" w:line="240" w:lineRule="auto"/>
      </w:pPr>
      <w:r>
        <w:rPr>
          <w:rFonts w:ascii="Times New Roman" w:hAnsi="Times New Roman" w:cs="Times New Roman"/>
          <w:sz w:val="6"/>
        </w:rPr>
      </w:r>
    </w:p>
    <w:p>
      <w:pPr>
        <w:keepNext/>
        <w:spacing w:before="160" w:after="80"/>
      </w:pPr>
      <w:r>
        <w:rPr>
          <w:rFonts w:ascii="Arial" w:hAnsi="Arial" w:cs="Arial"/>
          <w:b/>
          <w:sz w:val="21"/>
        </w:rPr>
        <w:t>Preliminary Hearing Officer process</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Findings of fact</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sz w:val="22"/>
              </w:rPr>
              <w:t>Recommendations</w:t>
            </w:r>
          </w:p>
          <w:p>
            <w:pPr>
              <w:tabs>
                <w:tab w:pos="432" w:val="left"/>
              </w:tabs>
              <w:spacing w:after="40" w:before="0" w:line="326" w:lineRule="auto"/>
              <w:ind w:left="432" w:hanging="317"/>
            </w:pPr>
            <w:r>
              <w:rPr>
                <w:rFonts w:ascii="Times New Roman" w:hAnsi="Times New Roman" w:cs="Times New Roman"/>
                <w:sz w:val="22"/>
              </w:rPr>
              <w:t>3.</w:t>
              <w:tab/>
            </w:r>
            <w:r>
              <w:rPr>
                <w:rFonts w:ascii="Times New Roman" w:hAnsi="Times New Roman" w:cs="Times New Roman"/>
                <w:sz w:val="22"/>
              </w:rPr>
              <w:t>Accused receives a copy of the report</w:t>
            </w:r>
          </w:p>
          <w:p>
            <w:pPr>
              <w:tabs>
                <w:tab w:pos="432" w:val="left"/>
              </w:tabs>
              <w:spacing w:after="40" w:before="0" w:line="326" w:lineRule="auto"/>
              <w:ind w:left="432" w:hanging="317"/>
            </w:pPr>
            <w:r>
              <w:rPr>
                <w:rFonts w:ascii="Times New Roman" w:hAnsi="Times New Roman" w:cs="Times New Roman"/>
                <w:sz w:val="22"/>
              </w:rPr>
              <w:t>4.</w:t>
              <w:tab/>
            </w:r>
            <w:r>
              <w:rPr>
                <w:rFonts w:ascii="Times New Roman" w:hAnsi="Times New Roman" w:cs="Times New Roman"/>
                <w:sz w:val="22"/>
              </w:rPr>
              <w:t xml:space="preserve">Accused files objections </w:t>
            </w:r>
            <w:r>
              <w:rPr>
                <w:rFonts w:ascii="Times New Roman" w:hAnsi="Times New Roman" w:cs="Times New Roman"/>
                <w:b/>
                <w:sz w:val="22"/>
              </w:rPr>
              <w:t>within 5 days</w:t>
            </w:r>
          </w:p>
          <w:p>
            <w:pPr>
              <w:tabs>
                <w:tab w:pos="432" w:val="left"/>
              </w:tabs>
              <w:spacing w:after="0" w:before="0" w:line="326" w:lineRule="auto"/>
              <w:ind w:left="432" w:hanging="317"/>
            </w:pPr>
            <w:r>
              <w:rPr>
                <w:rFonts w:ascii="Times New Roman" w:hAnsi="Times New Roman" w:cs="Times New Roman"/>
                <w:sz w:val="22"/>
              </w:rPr>
              <w:t>5.</w:t>
              <w:tab/>
            </w:r>
            <w:r>
              <w:rPr>
                <w:rFonts w:ascii="Times New Roman" w:hAnsi="Times New Roman" w:cs="Times New Roman"/>
                <w:sz w:val="22"/>
              </w:rPr>
              <w:t>Convening authority takes action</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b/>
          <w:sz w:val="22"/>
        </w:rPr>
        <w:t>The number to memorize: 5 days.</w:t>
      </w:r>
      <w:r>
        <w:rPr>
          <w:rFonts w:ascii="Times New Roman" w:hAnsi="Times New Roman" w:cs="Times New Roman"/>
          <w:sz w:val="22"/>
        </w:rPr>
        <w:t xml:space="preserve"> It is the only hard deadline in the deck, which makes it a near-lock for a question.</w:t>
      </w:r>
    </w:p>
    <w:p>
      <w:pPr>
        <w:keepNext/>
        <w:pBdr>
          <w:bottom w:val="single" w:sz="4" w:space="2" w:color="C4C4C4"/>
        </w:pBdr>
        <w:spacing w:before="150" w:after="70"/>
        <w:outlineLvl w:val="1"/>
      </w:pPr>
      <w:r>
        <w:rPr>
          <w:rFonts w:ascii="Arial" w:hAnsi="Arial" w:cs="Arial"/>
          <w:b/>
          <w:color w:val="1F3A5F"/>
          <w:sz w:val="25"/>
        </w:rPr>
        <w:t>1.12 Mandatory Bar Grounds, Directive 2012-03 (Slide 18)</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spacing w:after="40" w:line="326" w:lineRule="auto"/>
            </w:pPr>
            <w:r>
              <w:rPr>
                <w:rFonts w:ascii="Times New Roman" w:hAnsi="Times New Roman" w:cs="Times New Roman"/>
                <w:sz w:val="22"/>
              </w:rPr>
              <w:t xml:space="preserve">Administrative separation or bar to reenlistment is </w:t>
            </w:r>
            <w:r>
              <w:rPr>
                <w:rFonts w:ascii="Times New Roman" w:hAnsi="Times New Roman" w:cs="Times New Roman"/>
                <w:b/>
                <w:sz w:val="22"/>
              </w:rPr>
              <w:t>required</w:t>
            </w:r>
            <w:r>
              <w:rPr>
                <w:rFonts w:ascii="Times New Roman" w:hAnsi="Times New Roman" w:cs="Times New Roman"/>
                <w:sz w:val="22"/>
              </w:rPr>
              <w:t xml:space="preserve"> for:</w:t>
            </w:r>
          </w:p>
          <w:p>
            <w:pPr>
              <w:tabs>
                <w:tab w:pos="432" w:val="left"/>
              </w:tabs>
              <w:spacing w:after="40" w:before="0" w:line="326" w:lineRule="auto"/>
              <w:ind w:left="432" w:hanging="317"/>
            </w:pPr>
            <w:r>
              <w:rPr>
                <w:rFonts w:ascii="Times New Roman" w:hAnsi="Times New Roman" w:cs="Times New Roman"/>
                <w:sz w:val="22"/>
              </w:rPr>
              <w:t>1.</w:t>
              <w:tab/>
            </w:r>
            <w:r>
              <w:rPr>
                <w:rFonts w:ascii="Times New Roman" w:hAnsi="Times New Roman" w:cs="Times New Roman"/>
                <w:sz w:val="22"/>
              </w:rPr>
              <w:t>Failure to make satisfactory progress in the Army Weight Control Program</w:t>
            </w:r>
          </w:p>
          <w:p>
            <w:pPr>
              <w:tabs>
                <w:tab w:pos="432" w:val="left"/>
              </w:tabs>
              <w:spacing w:after="40" w:before="0" w:line="326" w:lineRule="auto"/>
              <w:ind w:left="432" w:hanging="317"/>
            </w:pPr>
            <w:r>
              <w:rPr>
                <w:rFonts w:ascii="Times New Roman" w:hAnsi="Times New Roman" w:cs="Times New Roman"/>
                <w:sz w:val="22"/>
              </w:rPr>
              <w:t>2.</w:t>
              <w:tab/>
            </w:r>
            <w:r>
              <w:rPr>
                <w:rFonts w:ascii="Times New Roman" w:hAnsi="Times New Roman" w:cs="Times New Roman"/>
                <w:b/>
                <w:sz w:val="22"/>
              </w:rPr>
              <w:t>Two consecutive</w:t>
            </w:r>
            <w:r>
              <w:rPr>
                <w:rFonts w:ascii="Times New Roman" w:hAnsi="Times New Roman" w:cs="Times New Roman"/>
                <w:sz w:val="22"/>
              </w:rPr>
              <w:t xml:space="preserve"> APFT failures</w:t>
            </w:r>
          </w:p>
          <w:p>
            <w:pPr>
              <w:tabs>
                <w:tab w:pos="432" w:val="left"/>
              </w:tabs>
              <w:spacing w:after="0" w:before="0" w:line="326" w:lineRule="auto"/>
              <w:ind w:left="432" w:hanging="317"/>
            </w:pPr>
            <w:r>
              <w:rPr>
                <w:rFonts w:ascii="Times New Roman" w:hAnsi="Times New Roman" w:cs="Times New Roman"/>
                <w:sz w:val="22"/>
              </w:rPr>
              <w:t>3.</w:t>
              <w:tab/>
            </w:r>
            <w:r>
              <w:rPr>
                <w:rFonts w:ascii="Times New Roman" w:hAnsi="Times New Roman" w:cs="Times New Roman"/>
                <w:sz w:val="22"/>
              </w:rPr>
              <w:t>Removal for cause from NCOES courses</w:t>
            </w:r>
          </w:p>
        </w:tc>
      </w:tr>
    </w:tbl>
    <w:p>
      <w:pPr>
        <w:spacing w:after="0" w:line="240" w:lineRule="auto"/>
      </w:pPr>
      <w:r>
        <w:rPr>
          <w:rFonts w:ascii="Times New Roman" w:hAnsi="Times New Roman" w:cs="Times New Roman"/>
          <w:sz w:val="6"/>
        </w:rPr>
      </w:r>
    </w:p>
    <w:p>
      <w:pPr>
        <w:spacing w:after="100" w:line="326" w:lineRule="auto"/>
      </w:pPr>
      <w:r>
        <w:rPr>
          <w:rFonts w:ascii="Times New Roman" w:hAnsi="Times New Roman" w:cs="Times New Roman"/>
          <w:sz w:val="22"/>
        </w:rPr>
        <w:t>Note the word "required." These are mandatory, not discretionary.</w:t>
      </w:r>
    </w:p>
    <w:p>
      <w:pPr>
        <w:keepNext/>
        <w:pBdr>
          <w:bottom w:val="single" w:sz="4" w:space="2" w:color="C4C4C4"/>
        </w:pBdr>
        <w:spacing w:before="150" w:after="70"/>
        <w:outlineLvl w:val="1"/>
      </w:pPr>
      <w:r>
        <w:rPr>
          <w:rFonts w:ascii="Arial" w:hAnsi="Arial" w:cs="Arial"/>
          <w:b/>
          <w:color w:val="1F3A5F"/>
          <w:sz w:val="25"/>
        </w:rPr>
        <w:t>1.13 Counseling Essentials (Slide 14)</w:t>
      </w:r>
    </w:p>
    <w:tbl>
      <w:tblPr>
        <w:tblW w:type="auto" w:w="0"/>
        <w:jc w:val="left"/>
        <w:tblBorders>
          <w:top w:val="single" w:sz="6" w:space="0" w:color="9A9A9A"/>
          <w:left w:val="single" w:sz="6" w:space="0" w:color="9A9A9A"/>
          <w:bottom w:val="single" w:sz="6" w:space="0" w:color="9A9A9A"/>
          <w:right w:val="single" w:sz="6" w:space="0" w:color="9A9A9A"/>
        </w:tblBorders>
        <w:tblLayout w:type="fixed"/>
        <w:tblLook w:firstColumn="1" w:firstRow="1" w:lastColumn="0" w:lastRow="0" w:noHBand="0" w:noVBand="1" w:val="04A0"/>
      </w:tblPr>
      <w:tblGrid>
        <w:gridCol w:w="9000"/>
      </w:tblGrid>
      <w:tr>
        <w:trPr>
          <w:cantSplit/>
        </w:trPr>
        <w:tc>
          <w:tcPr>
            <w:tcW w:type="dxa" w:w="9000"/>
            <w:shd w:val="clear" w:color="auto" w:fill="F1F1F1"/>
            <w:tcMar>
              <w:top w:w="100" w:type="dxa"/>
              <w:start w:w="158" w:type="dxa"/>
              <w:bottom w:w="100" w:type="dxa"/>
              <w:end w:w="158" w:type="dxa"/>
            </w:tcMar>
          </w:tcPr>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b/>
                <w:sz w:val="22"/>
              </w:rPr>
              <w:t>Form:</w:t>
            </w:r>
            <w:r>
              <w:rPr>
                <w:rFonts w:ascii="Times New Roman" w:hAnsi="Times New Roman" w:cs="Times New Roman"/>
                <w:sz w:val="22"/>
              </w:rPr>
              <w:t xml:space="preserve"> DA Form 4856</w:t>
            </w:r>
          </w:p>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b/>
                <w:sz w:val="22"/>
              </w:rPr>
              <w:t>Regulation to cite:</w:t>
            </w:r>
            <w:r>
              <w:rPr>
                <w:rFonts w:ascii="Times New Roman" w:hAnsi="Times New Roman" w:cs="Times New Roman"/>
                <w:sz w:val="22"/>
              </w:rPr>
              <w:t xml:space="preserve"> AR 635-200, </w:t>
            </w:r>
            <w:r>
              <w:rPr>
                <w:rFonts w:ascii="Times New Roman" w:hAnsi="Times New Roman" w:cs="Times New Roman"/>
                <w:b/>
                <w:sz w:val="22"/>
              </w:rPr>
              <w:t>paragraph 1-16</w:t>
            </w:r>
            <w:r>
              <w:rPr>
                <w:rFonts w:ascii="Times New Roman" w:hAnsi="Times New Roman" w:cs="Times New Roman"/>
                <w:sz w:val="22"/>
              </w:rPr>
              <w:t xml:space="preserve"> and Part IV (Rehabilitative Results and Comments)</w:t>
            </w:r>
          </w:p>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Oral counseling </w:t>
            </w:r>
            <w:r>
              <w:rPr>
                <w:rFonts w:ascii="Times New Roman" w:hAnsi="Times New Roman" w:cs="Times New Roman"/>
                <w:b/>
                <w:sz w:val="22"/>
              </w:rPr>
              <w:t>is not enough</w:t>
            </w:r>
            <w:r>
              <w:rPr>
                <w:rFonts w:ascii="Times New Roman" w:hAnsi="Times New Roman" w:cs="Times New Roman"/>
                <w:sz w:val="22"/>
              </w:rPr>
              <w:t xml:space="preserve"> because no record is created</w:t>
            </w:r>
          </w:p>
          <w:p>
            <w:pPr>
              <w:tabs>
                <w:tab w:pos="432" w:val="left"/>
              </w:tabs>
              <w:spacing w:after="4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Document misconduct or deficiency </w:t>
            </w:r>
            <w:r>
              <w:rPr>
                <w:rFonts w:ascii="Times New Roman" w:hAnsi="Times New Roman" w:cs="Times New Roman"/>
                <w:b/>
                <w:sz w:val="22"/>
              </w:rPr>
              <w:t>with specificity</w:t>
            </w:r>
          </w:p>
          <w:p>
            <w:pPr>
              <w:tabs>
                <w:tab w:pos="432" w:val="left"/>
              </w:tabs>
              <w:spacing w:after="0" w:before="0" w:line="326" w:lineRule="auto"/>
              <w:ind w:left="432" w:hanging="317"/>
            </w:pPr>
            <w:r>
              <w:rPr>
                <w:rFonts w:ascii="Times New Roman" w:hAnsi="Times New Roman" w:cs="Times New Roman"/>
                <w:sz w:val="22"/>
              </w:rPr>
              <w:t>•</w:t>
              <w:tab/>
            </w:r>
            <w:r>
              <w:rPr>
                <w:rFonts w:ascii="Times New Roman" w:hAnsi="Times New Roman" w:cs="Times New Roman"/>
                <w:sz w:val="22"/>
              </w:rPr>
              <w:t>The purpose is that Soldiers understand the commander's expectations for future conduct</w:t>
            </w:r>
          </w:p>
        </w:tc>
      </w:tr>
    </w:tbl>
    <w:p>
      <w:pPr>
        <w:spacing w:after="0" w:line="240" w:lineRule="auto"/>
      </w:pPr>
      <w:r>
        <w:rPr>
          <w:rFonts w:ascii="Times New Roman" w:hAnsi="Times New Roman" w:cs="Times New Roman"/>
          <w:sz w:val="6"/>
        </w:rPr>
      </w:r>
    </w:p>
    <w:p>
      <w:pPr>
        <w:keepNext/>
        <w:pageBreakBefore/>
        <w:pBdr>
          <w:bottom w:val="single" w:sz="16" w:space="2" w:color="1F3A5F"/>
        </w:pBdr>
        <w:spacing w:before="0" w:after="80"/>
        <w:outlineLvl w:val="0"/>
      </w:pPr>
      <w:r>
        <w:rPr>
          <w:rFonts w:ascii="Arial" w:hAnsi="Arial" w:cs="Arial"/>
          <w:b/>
          <w:color w:val="1F3A5F"/>
          <w:sz w:val="36"/>
        </w:rPr>
        <w:t>TIER 2: Likely Tested, Concept Level</w:t>
      </w:r>
    </w:p>
    <w:p>
      <w:pPr>
        <w:keepNext/>
        <w:spacing w:before="100" w:after="160"/>
      </w:pPr>
      <w:r>
        <w:rPr>
          <w:rFonts w:ascii="Times New Roman" w:hAnsi="Times New Roman" w:cs="Times New Roman"/>
          <w:i/>
          <w:color w:val="333333"/>
          <w:sz w:val="21"/>
        </w:rPr>
        <w:t>Tier 2 is concept material. Likely tested, but usually as "which of these is an example of" rather than pure recall.</w:t>
      </w:r>
    </w:p>
    <w:p>
      <w:pPr>
        <w:keepNext/>
        <w:pBdr>
          <w:bottom w:val="single" w:sz="4" w:space="2" w:color="C4C4C4"/>
        </w:pBdr>
        <w:spacing w:before="150" w:after="70"/>
        <w:outlineLvl w:val="1"/>
      </w:pPr>
      <w:r>
        <w:rPr>
          <w:rFonts w:ascii="Arial" w:hAnsi="Arial" w:cs="Arial"/>
          <w:b/>
          <w:color w:val="1F3A5F"/>
          <w:sz w:val="25"/>
        </w:rPr>
        <w:t>2.1 UCMJ Jurisdiction (Slide 3)</w:t>
      </w:r>
    </w:p>
    <w:p>
      <w:pPr>
        <w:spacing w:after="100" w:line="326" w:lineRule="auto"/>
      </w:pPr>
      <w:r>
        <w:rPr>
          <w:rFonts w:ascii="Times New Roman" w:hAnsi="Times New Roman" w:cs="Times New Roman"/>
          <w:sz w:val="22"/>
        </w:rPr>
        <w:t>Jurisdiction runs two ways.</w:t>
      </w:r>
    </w:p>
    <w:p>
      <w:pPr>
        <w:spacing w:after="100" w:line="326" w:lineRule="auto"/>
      </w:pPr>
      <w:r>
        <w:rPr>
          <w:rFonts w:ascii="Times New Roman" w:hAnsi="Times New Roman" w:cs="Times New Roman"/>
          <w:b/>
          <w:sz w:val="22"/>
        </w:rPr>
        <w:t>Over the person:</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Active duty Soldiers and Reservists </w:t>
      </w:r>
      <w:r>
        <w:rPr>
          <w:rFonts w:ascii="Times New Roman" w:hAnsi="Times New Roman" w:cs="Times New Roman"/>
          <w:b/>
          <w:sz w:val="22"/>
        </w:rPr>
        <w:t>while on active duty</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Military academy cadets and midshipmen</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b/>
          <w:sz w:val="22"/>
        </w:rPr>
        <w:t>National Guard personnel in Federal service (Title 10 U.S.C.)</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Retirees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Enemy prisoners of war</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Others (some civilians deployed with units)</w:t>
      </w:r>
    </w:p>
    <w:p>
      <w:pPr>
        <w:spacing w:after="100" w:line="326" w:lineRule="auto"/>
      </w:pPr>
      <w:r>
        <w:rPr>
          <w:rFonts w:ascii="Times New Roman" w:hAnsi="Times New Roman" w:cs="Times New Roman"/>
          <w:b/>
          <w:sz w:val="22"/>
        </w:rPr>
        <w:t>Over the offense:</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Worldwide jurisdiction</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Possible concurrent jurisdiction</w:t>
      </w:r>
    </w:p>
    <w:p>
      <w:pPr>
        <w:spacing w:after="100" w:line="326" w:lineRule="auto"/>
      </w:pPr>
      <w:r>
        <w:rPr>
          <w:rFonts w:ascii="Times New Roman" w:hAnsi="Times New Roman" w:cs="Times New Roman"/>
          <w:sz w:val="22"/>
        </w:rPr>
        <w:t xml:space="preserve">Two qualifiers carry the weight here. Reservists are covered </w:t>
      </w:r>
      <w:r>
        <w:rPr>
          <w:rFonts w:ascii="Times New Roman" w:hAnsi="Times New Roman" w:cs="Times New Roman"/>
          <w:i/>
          <w:sz w:val="22"/>
        </w:rPr>
        <w:t>while on active duty</w:t>
      </w:r>
      <w:r>
        <w:rPr>
          <w:rFonts w:ascii="Times New Roman" w:hAnsi="Times New Roman" w:cs="Times New Roman"/>
          <w:sz w:val="22"/>
        </w:rPr>
        <w:t xml:space="preserve">, and National Guard personnel are covered </w:t>
      </w:r>
      <w:r>
        <w:rPr>
          <w:rFonts w:ascii="Times New Roman" w:hAnsi="Times New Roman" w:cs="Times New Roman"/>
          <w:i/>
          <w:sz w:val="22"/>
        </w:rPr>
        <w:t>in Federal service under Title 10</w:t>
      </w:r>
      <w:r>
        <w:rPr>
          <w:rFonts w:ascii="Times New Roman" w:hAnsi="Times New Roman" w:cs="Times New Roman"/>
          <w:sz w:val="22"/>
        </w:rPr>
        <w:t>, not while in state status. Given the audience, expect the Guard/Title 10 distinction to show up.</w:t>
      </w:r>
    </w:p>
    <w:p>
      <w:pPr>
        <w:keepNext/>
        <w:pBdr>
          <w:bottom w:val="single" w:sz="4" w:space="2" w:color="C4C4C4"/>
        </w:pBdr>
        <w:spacing w:before="150" w:after="70"/>
        <w:outlineLvl w:val="1"/>
      </w:pPr>
      <w:r>
        <w:rPr>
          <w:rFonts w:ascii="Arial" w:hAnsi="Arial" w:cs="Arial"/>
          <w:b/>
          <w:color w:val="1F3A5F"/>
          <w:sz w:val="25"/>
        </w:rPr>
        <w:t>2.2 Inspections Versus Searches (Slide 31)</w:t>
      </w:r>
    </w:p>
    <w:p>
      <w:pPr>
        <w:spacing w:after="100" w:line="326" w:lineRule="auto"/>
      </w:pPr>
      <w:r>
        <w:rPr>
          <w:rFonts w:ascii="Times New Roman" w:hAnsi="Times New Roman" w:cs="Times New Roman"/>
          <w:sz w:val="22"/>
        </w:rPr>
        <w:t xml:space="preserve">An inspection is </w:t>
      </w:r>
      <w:r>
        <w:rPr>
          <w:rFonts w:ascii="Times New Roman" w:hAnsi="Times New Roman" w:cs="Times New Roman"/>
          <w:b/>
          <w:sz w:val="22"/>
        </w:rPr>
        <w:t>not</w:t>
      </w:r>
      <w:r>
        <w:rPr>
          <w:rFonts w:ascii="Times New Roman" w:hAnsi="Times New Roman" w:cs="Times New Roman"/>
          <w:sz w:val="22"/>
        </w:rPr>
        <w:t xml:space="preserve"> a search.</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Primary purpose must be to ensure </w:t>
      </w:r>
      <w:r>
        <w:rPr>
          <w:rFonts w:ascii="Times New Roman" w:hAnsi="Times New Roman" w:cs="Times New Roman"/>
          <w:b/>
          <w:sz w:val="22"/>
        </w:rPr>
        <w:t>security, military fitness, and good order and discipline</w:t>
      </w:r>
      <w:r>
        <w:rPr>
          <w:rFonts w:ascii="Times New Roman" w:hAnsi="Times New Roman" w:cs="Times New Roman"/>
          <w:sz w:val="22"/>
        </w:rPr>
        <w:t xml:space="preserve"> of a unit</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b/>
          <w:sz w:val="22"/>
        </w:rPr>
        <w:t>Does not require probable cause</w:t>
      </w:r>
    </w:p>
    <w:p>
      <w:pPr>
        <w:spacing w:after="100" w:line="326" w:lineRule="auto"/>
      </w:pPr>
      <w:r>
        <w:rPr>
          <w:rFonts w:ascii="Times New Roman" w:hAnsi="Times New Roman" w:cs="Times New Roman"/>
          <w:sz w:val="22"/>
        </w:rPr>
        <w:t>Contrast that with a search, which requires probable cause and authorization from one of the three officials in section 1.2. The distinction is conceptually clean and easy to write a question about, so know which side of the line a given scenario falls on.</w:t>
      </w:r>
    </w:p>
    <w:p>
      <w:pPr>
        <w:keepNext/>
        <w:pBdr>
          <w:bottom w:val="single" w:sz="4" w:space="2" w:color="C4C4C4"/>
        </w:pBdr>
        <w:spacing w:before="150" w:after="70"/>
        <w:outlineLvl w:val="1"/>
      </w:pPr>
      <w:r>
        <w:rPr>
          <w:rFonts w:ascii="Arial" w:hAnsi="Arial" w:cs="Arial"/>
          <w:b/>
          <w:color w:val="1F3A5F"/>
          <w:sz w:val="25"/>
        </w:rPr>
        <w:t>2.3 Search and Seizure Concepts (Slides 28 to 30)</w:t>
      </w:r>
    </w:p>
    <w:p>
      <w:pPr>
        <w:spacing w:after="100" w:line="326" w:lineRule="auto"/>
      </w:pPr>
      <w:r>
        <w:rPr>
          <w:rFonts w:ascii="Times New Roman" w:hAnsi="Times New Roman" w:cs="Times New Roman"/>
          <w:b/>
          <w:sz w:val="22"/>
        </w:rPr>
        <w:t>Probable cause framework:</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Probable cause</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Totality of the circumstances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Neutral and detached (the authorizing official must be)</w:t>
      </w:r>
    </w:p>
    <w:p>
      <w:pPr>
        <w:spacing w:after="100" w:line="326" w:lineRule="auto"/>
      </w:pPr>
      <w:r>
        <w:rPr>
          <w:rFonts w:ascii="Times New Roman" w:hAnsi="Times New Roman" w:cs="Times New Roman"/>
          <w:b/>
          <w:sz w:val="22"/>
        </w:rPr>
        <w:t>Authority questions:</w:t>
      </w:r>
      <w:r>
        <w:rPr>
          <w:rFonts w:ascii="Times New Roman" w:hAnsi="Times New Roman" w:cs="Times New Roman"/>
          <w:sz w:val="22"/>
        </w:rPr>
        <w:t xml:space="preserve"> Who controls the person or place?</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Authority to search</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Authority to apprehend</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b/>
          <w:sz w:val="22"/>
        </w:rPr>
        <w:t>Exception: apprehension in the home requires a warrant</w:t>
      </w:r>
    </w:p>
    <w:p>
      <w:pPr>
        <w:spacing w:after="100" w:line="326" w:lineRule="auto"/>
      </w:pPr>
      <w:r>
        <w:rPr>
          <w:rFonts w:ascii="Times New Roman" w:hAnsi="Times New Roman" w:cs="Times New Roman"/>
          <w:b/>
          <w:sz w:val="22"/>
        </w:rPr>
        <w:t>Exceptions to the warrant/authorization requirement covered in the deck:</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Consent</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Incident to apprehension</w:t>
      </w:r>
    </w:p>
    <w:p>
      <w:pPr>
        <w:spacing w:after="100" w:line="326" w:lineRule="auto"/>
      </w:pPr>
      <w:r>
        <w:rPr>
          <w:rFonts w:ascii="Times New Roman" w:hAnsi="Times New Roman" w:cs="Times New Roman"/>
          <w:sz w:val="22"/>
        </w:rPr>
        <w:t>The deck ends this section with "Call your Judge Advocate," which is worth remembering as the correct answer to any scenario question where the right move is to seek legal advice rather than act.</w:t>
      </w:r>
    </w:p>
    <w:p>
      <w:pPr>
        <w:keepNext/>
        <w:pBdr>
          <w:bottom w:val="single" w:sz="4" w:space="2" w:color="C4C4C4"/>
        </w:pBdr>
        <w:spacing w:before="150" w:after="70"/>
        <w:outlineLvl w:val="1"/>
      </w:pPr>
      <w:r>
        <w:rPr>
          <w:rFonts w:ascii="Arial" w:hAnsi="Arial" w:cs="Arial"/>
          <w:b/>
          <w:color w:val="1F3A5F"/>
          <w:sz w:val="25"/>
        </w:rPr>
        <w:t>2.4 Commander's Responsibilities (Slide 7)</w:t>
      </w:r>
    </w:p>
    <w:p>
      <w:pPr>
        <w:tabs>
          <w:tab w:pos="432" w:val="left"/>
        </w:tabs>
        <w:spacing w:after="30" w:before="0" w:line="326" w:lineRule="auto"/>
        <w:ind w:left="432" w:hanging="317"/>
      </w:pPr>
      <w:r>
        <w:rPr>
          <w:rFonts w:ascii="Times New Roman" w:hAnsi="Times New Roman" w:cs="Times New Roman"/>
          <w:sz w:val="22"/>
        </w:rPr>
        <w:t>1.</w:t>
        <w:tab/>
      </w:r>
      <w:r>
        <w:rPr>
          <w:rFonts w:ascii="Times New Roman" w:hAnsi="Times New Roman" w:cs="Times New Roman"/>
          <w:sz w:val="22"/>
        </w:rPr>
        <w:t>Maintain good order and discipline</w:t>
      </w:r>
    </w:p>
    <w:p>
      <w:pPr>
        <w:tabs>
          <w:tab w:pos="432" w:val="left"/>
        </w:tabs>
        <w:spacing w:after="30" w:before="0" w:line="326" w:lineRule="auto"/>
        <w:ind w:left="432" w:hanging="317"/>
      </w:pPr>
      <w:r>
        <w:rPr>
          <w:rFonts w:ascii="Times New Roman" w:hAnsi="Times New Roman" w:cs="Times New Roman"/>
          <w:sz w:val="22"/>
        </w:rPr>
        <w:t>2.</w:t>
        <w:tab/>
      </w:r>
      <w:r>
        <w:rPr>
          <w:rFonts w:ascii="Times New Roman" w:hAnsi="Times New Roman" w:cs="Times New Roman"/>
          <w:sz w:val="22"/>
        </w:rPr>
        <w:t>Investigate reported offenses</w:t>
      </w:r>
    </w:p>
    <w:p>
      <w:pPr>
        <w:tabs>
          <w:tab w:pos="432" w:val="left"/>
        </w:tabs>
        <w:spacing w:after="30" w:before="0" w:line="326" w:lineRule="auto"/>
        <w:ind w:left="432" w:hanging="317"/>
      </w:pPr>
      <w:r>
        <w:rPr>
          <w:rFonts w:ascii="Times New Roman" w:hAnsi="Times New Roman" w:cs="Times New Roman"/>
          <w:sz w:val="22"/>
        </w:rPr>
        <w:t>3.</w:t>
        <w:tab/>
      </w:r>
      <w:r>
        <w:rPr>
          <w:rFonts w:ascii="Times New Roman" w:hAnsi="Times New Roman" w:cs="Times New Roman"/>
          <w:sz w:val="22"/>
        </w:rPr>
        <w:t>Enforce the law</w:t>
      </w:r>
    </w:p>
    <w:p>
      <w:pPr>
        <w:tabs>
          <w:tab w:pos="432" w:val="left"/>
        </w:tabs>
        <w:spacing w:after="30" w:before="0" w:line="326" w:lineRule="auto"/>
        <w:ind w:left="432" w:hanging="317"/>
      </w:pPr>
      <w:r>
        <w:rPr>
          <w:rFonts w:ascii="Times New Roman" w:hAnsi="Times New Roman" w:cs="Times New Roman"/>
          <w:sz w:val="22"/>
        </w:rPr>
        <w:t>4.</w:t>
        <w:tab/>
      </w:r>
      <w:r>
        <w:rPr>
          <w:rFonts w:ascii="Times New Roman" w:hAnsi="Times New Roman" w:cs="Times New Roman"/>
          <w:b/>
          <w:sz w:val="22"/>
        </w:rPr>
        <w:t>Protect Soldiers' rights</w:t>
      </w:r>
    </w:p>
    <w:p>
      <w:pPr>
        <w:tabs>
          <w:tab w:pos="432" w:val="left"/>
        </w:tabs>
        <w:spacing w:after="30" w:before="0" w:line="326" w:lineRule="auto"/>
        <w:ind w:left="432" w:hanging="317"/>
      </w:pPr>
      <w:r>
        <w:rPr>
          <w:rFonts w:ascii="Times New Roman" w:hAnsi="Times New Roman" w:cs="Times New Roman"/>
          <w:sz w:val="22"/>
        </w:rPr>
        <w:t>5.</w:t>
        <w:tab/>
      </w:r>
      <w:r>
        <w:rPr>
          <w:rFonts w:ascii="Times New Roman" w:hAnsi="Times New Roman" w:cs="Times New Roman"/>
          <w:sz w:val="22"/>
        </w:rPr>
        <w:t>Determine disposition of the case</w:t>
      </w:r>
    </w:p>
    <w:p>
      <w:pPr>
        <w:spacing w:after="100" w:line="326" w:lineRule="auto"/>
      </w:pPr>
      <w:r>
        <w:rPr>
          <w:rFonts w:ascii="Times New Roman" w:hAnsi="Times New Roman" w:cs="Times New Roman"/>
          <w:sz w:val="22"/>
        </w:rPr>
        <w:t>Do not skip number 4. Exam writers like the item that seems least like a "command" function.</w:t>
      </w:r>
    </w:p>
    <w:p>
      <w:pPr>
        <w:keepNext/>
        <w:pBdr>
          <w:bottom w:val="single" w:sz="4" w:space="2" w:color="C4C4C4"/>
        </w:pBdr>
        <w:spacing w:before="150" w:after="70"/>
        <w:outlineLvl w:val="1"/>
      </w:pPr>
      <w:r>
        <w:rPr>
          <w:rFonts w:ascii="Arial" w:hAnsi="Arial" w:cs="Arial"/>
          <w:b/>
          <w:color w:val="1F3A5F"/>
          <w:sz w:val="25"/>
        </w:rPr>
        <w:t>2.5 Nonbinding Disposition Guidance (Slide 8)</w:t>
      </w:r>
    </w:p>
    <w:p>
      <w:pPr>
        <w:spacing w:after="100" w:line="326" w:lineRule="auto"/>
      </w:pPr>
      <w:r>
        <w:rPr>
          <w:rFonts w:ascii="Times New Roman" w:hAnsi="Times New Roman" w:cs="Times New Roman"/>
          <w:sz w:val="22"/>
        </w:rPr>
        <w:t xml:space="preserve">The commander should consider </w:t>
      </w:r>
      <w:r>
        <w:rPr>
          <w:rFonts w:ascii="Times New Roman" w:hAnsi="Times New Roman" w:cs="Times New Roman"/>
          <w:b/>
          <w:sz w:val="22"/>
        </w:rPr>
        <w:t>14 factors</w:t>
      </w:r>
      <w:r>
        <w:rPr>
          <w:rFonts w:ascii="Times New Roman" w:hAnsi="Times New Roman" w:cs="Times New Roman"/>
          <w:sz w:val="22"/>
        </w:rPr>
        <w:t xml:space="preserve"> when determining disposition of an offense. The count itself is testable.</w:t>
      </w:r>
    </w:p>
    <w:p>
      <w:pPr>
        <w:spacing w:after="100" w:line="326" w:lineRule="auto"/>
      </w:pPr>
      <w:r>
        <w:rPr>
          <w:rFonts w:ascii="Times New Roman" w:hAnsi="Times New Roman" w:cs="Times New Roman"/>
          <w:sz w:val="22"/>
        </w:rPr>
        <w:t>Factors named in the deck:</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Mission of the command where the offense occurred</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Nature, seriousness, and circumstances of the offense</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View of the victim</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Extent of harm</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Accused's willingness to cooperate</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Criminal history</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Impact on alternate disposition</w:t>
      </w:r>
    </w:p>
    <w:p>
      <w:pPr>
        <w:spacing w:after="100" w:line="326" w:lineRule="auto"/>
      </w:pPr>
      <w:r>
        <w:rPr>
          <w:rFonts w:ascii="Times New Roman" w:hAnsi="Times New Roman" w:cs="Times New Roman"/>
          <w:sz w:val="22"/>
        </w:rPr>
        <w:t xml:space="preserve">Note the word </w:t>
      </w:r>
      <w:r>
        <w:rPr>
          <w:rFonts w:ascii="Times New Roman" w:hAnsi="Times New Roman" w:cs="Times New Roman"/>
          <w:b/>
          <w:sz w:val="22"/>
        </w:rPr>
        <w:t>nonbinding</w:t>
      </w:r>
      <w:r>
        <w:rPr>
          <w:rFonts w:ascii="Times New Roman" w:hAnsi="Times New Roman" w:cs="Times New Roman"/>
          <w:sz w:val="22"/>
        </w:rPr>
        <w:t>. This is guidance, not a mandate.</w:t>
      </w:r>
    </w:p>
    <w:p>
      <w:pPr>
        <w:keepNext/>
        <w:pBdr>
          <w:bottom w:val="single" w:sz="4" w:space="2" w:color="C4C4C4"/>
        </w:pBdr>
        <w:spacing w:before="150" w:after="70"/>
        <w:outlineLvl w:val="1"/>
      </w:pPr>
      <w:r>
        <w:rPr>
          <w:rFonts w:ascii="Arial" w:hAnsi="Arial" w:cs="Arial"/>
          <w:b/>
          <w:color w:val="1F3A5F"/>
          <w:sz w:val="25"/>
        </w:rPr>
        <w:t>2.6 Corrective Training (Slide 16)</w:t>
      </w:r>
    </w:p>
    <w:p>
      <w:pPr>
        <w:spacing w:after="100" w:line="326" w:lineRule="auto"/>
      </w:pPr>
      <w:r>
        <w:rPr>
          <w:rFonts w:ascii="Times New Roman" w:hAnsi="Times New Roman" w:cs="Times New Roman"/>
          <w:sz w:val="22"/>
        </w:rPr>
        <w:t>Also called remedial training. The rules: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Must be </w:t>
      </w:r>
      <w:r>
        <w:rPr>
          <w:rFonts w:ascii="Times New Roman" w:hAnsi="Times New Roman" w:cs="Times New Roman"/>
          <w:b/>
          <w:sz w:val="22"/>
        </w:rPr>
        <w:t>directly related to the deficiency observed</w:t>
      </w:r>
      <w:r>
        <w:rPr>
          <w:rFonts w:ascii="Times New Roman" w:hAnsi="Times New Roman" w:cs="Times New Roman"/>
          <w:sz w:val="22"/>
        </w:rPr>
        <w:t xml:space="preserve"> and oriented to correct that particular deficiency</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It is </w:t>
      </w:r>
      <w:r>
        <w:rPr>
          <w:rFonts w:ascii="Times New Roman" w:hAnsi="Times New Roman" w:cs="Times New Roman"/>
          <w:b/>
          <w:sz w:val="22"/>
        </w:rPr>
        <w:t>training, NOT punishment</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Must </w:t>
      </w:r>
      <w:r>
        <w:rPr>
          <w:rFonts w:ascii="Times New Roman" w:hAnsi="Times New Roman" w:cs="Times New Roman"/>
          <w:b/>
          <w:sz w:val="22"/>
        </w:rPr>
        <w:t>not be humiliating or degrading</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A leader should be present</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Examples given: remedial PT, bi-hourly check-in for failure to repair (FTR)</w:t>
      </w:r>
    </w:p>
    <w:p>
      <w:pPr>
        <w:spacing w:after="100" w:line="326" w:lineRule="auto"/>
      </w:pPr>
      <w:r>
        <w:rPr>
          <w:rFonts w:ascii="Times New Roman" w:hAnsi="Times New Roman" w:cs="Times New Roman"/>
          <w:sz w:val="22"/>
        </w:rPr>
        <w:t>The classic exam scenario gives you corrective training that is unrelated to the deficiency or that is degrading, and asks whether it is proper. It is not.</w:t>
      </w:r>
    </w:p>
    <w:p>
      <w:pPr>
        <w:keepNext/>
        <w:pBdr>
          <w:bottom w:val="single" w:sz="4" w:space="2" w:color="C4C4C4"/>
        </w:pBdr>
        <w:spacing w:before="150" w:after="70"/>
        <w:outlineLvl w:val="1"/>
      </w:pPr>
      <w:r>
        <w:rPr>
          <w:rFonts w:ascii="Arial" w:hAnsi="Arial" w:cs="Arial"/>
          <w:b/>
          <w:color w:val="1F3A5F"/>
          <w:sz w:val="25"/>
        </w:rPr>
        <w:t>2.7 Administrative Reprimand, AR 600-37 (Slide 17)</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Documents misconduct or poor performance in official files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Formal procedures: the Soldier </w:t>
      </w:r>
      <w:r>
        <w:rPr>
          <w:rFonts w:ascii="Times New Roman" w:hAnsi="Times New Roman" w:cs="Times New Roman"/>
          <w:b/>
          <w:sz w:val="22"/>
        </w:rPr>
        <w:t>may rebut in writing</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Filing options:</w:t>
      </w:r>
    </w:p>
    <w:p>
      <w:pPr>
        <w:tabs>
          <w:tab w:pos="864" w:val="left"/>
        </w:tabs>
        <w:spacing w:after="30" w:before="0" w:line="326" w:lineRule="auto"/>
        <w:ind w:left="864" w:hanging="317"/>
      </w:pPr>
      <w:r>
        <w:rPr>
          <w:rFonts w:ascii="Times New Roman" w:hAnsi="Times New Roman" w:cs="Times New Roman"/>
          <w:sz w:val="22"/>
        </w:rPr>
        <w:t>◦</w:t>
        <w:tab/>
      </w:r>
      <w:r>
        <w:rPr>
          <w:rFonts w:ascii="Times New Roman" w:hAnsi="Times New Roman" w:cs="Times New Roman"/>
          <w:b/>
          <w:sz w:val="22"/>
        </w:rPr>
        <w:t>Local file</w:t>
      </w:r>
    </w:p>
    <w:p>
      <w:pPr>
        <w:tabs>
          <w:tab w:pos="864" w:val="left"/>
        </w:tabs>
        <w:spacing w:after="30" w:before="0" w:line="326" w:lineRule="auto"/>
        <w:ind w:left="864" w:hanging="317"/>
      </w:pPr>
      <w:r>
        <w:rPr>
          <w:rFonts w:ascii="Times New Roman" w:hAnsi="Times New Roman" w:cs="Times New Roman"/>
          <w:sz w:val="22"/>
        </w:rPr>
        <w:t>◦</w:t>
        <w:tab/>
      </w:r>
      <w:r>
        <w:rPr>
          <w:rFonts w:ascii="Times New Roman" w:hAnsi="Times New Roman" w:cs="Times New Roman"/>
          <w:b/>
          <w:sz w:val="22"/>
        </w:rPr>
        <w:t>Permanent file (AMHRR)</w:t>
      </w:r>
    </w:p>
    <w:p>
      <w:pPr>
        <w:tabs>
          <w:tab w:pos="864" w:val="left"/>
        </w:tabs>
        <w:spacing w:after="30" w:before="0" w:line="326" w:lineRule="auto"/>
        <w:ind w:left="864" w:hanging="317"/>
      </w:pPr>
      <w:r>
        <w:rPr>
          <w:rFonts w:ascii="Times New Roman" w:hAnsi="Times New Roman" w:cs="Times New Roman"/>
          <w:sz w:val="22"/>
        </w:rPr>
        <w:t>◦</w:t>
        <w:tab/>
      </w:r>
      <w:r>
        <w:rPr>
          <w:rFonts w:ascii="Times New Roman" w:hAnsi="Times New Roman" w:cs="Times New Roman"/>
          <w:sz w:val="22"/>
        </w:rPr>
        <w:t>General officer directed</w:t>
      </w:r>
    </w:p>
    <w:p>
      <w:pPr>
        <w:spacing w:after="100" w:line="326" w:lineRule="auto"/>
      </w:pPr>
      <w:r>
        <w:rPr>
          <w:rFonts w:ascii="Times New Roman" w:hAnsi="Times New Roman" w:cs="Times New Roman"/>
          <w:sz w:val="22"/>
        </w:rPr>
        <w:t>The local versus permanent filing choice is the detail most likely to be tested.</w:t>
      </w:r>
    </w:p>
    <w:p>
      <w:pPr>
        <w:keepNext/>
        <w:pBdr>
          <w:bottom w:val="single" w:sz="4" w:space="2" w:color="C4C4C4"/>
        </w:pBdr>
        <w:spacing w:before="150" w:after="70"/>
        <w:outlineLvl w:val="1"/>
      </w:pPr>
      <w:r>
        <w:rPr>
          <w:rFonts w:ascii="Arial" w:hAnsi="Arial" w:cs="Arial"/>
          <w:b/>
          <w:color w:val="1F3A5F"/>
          <w:sz w:val="25"/>
        </w:rPr>
        <w:t>2.8 Inquiries and Investigations (Slides 23 to 24)</w:t>
      </w:r>
    </w:p>
    <w:p>
      <w:pPr>
        <w:spacing w:after="100" w:line="326" w:lineRule="auto"/>
      </w:pPr>
      <w:r>
        <w:rPr>
          <w:rFonts w:ascii="Times New Roman" w:hAnsi="Times New Roman" w:cs="Times New Roman"/>
          <w:b/>
          <w:sz w:val="22"/>
        </w:rPr>
        <w:t>Three types, escalating:</w:t>
      </w:r>
    </w:p>
    <w:p>
      <w:pPr>
        <w:tabs>
          <w:tab w:pos="432" w:val="left"/>
        </w:tabs>
        <w:spacing w:after="30" w:before="0" w:line="326" w:lineRule="auto"/>
        <w:ind w:left="432" w:hanging="317"/>
      </w:pPr>
      <w:r>
        <w:rPr>
          <w:rFonts w:ascii="Times New Roman" w:hAnsi="Times New Roman" w:cs="Times New Roman"/>
          <w:sz w:val="22"/>
        </w:rPr>
        <w:t>1.</w:t>
        <w:tab/>
      </w:r>
      <w:r>
        <w:rPr>
          <w:rFonts w:ascii="Times New Roman" w:hAnsi="Times New Roman" w:cs="Times New Roman"/>
          <w:sz w:val="22"/>
        </w:rPr>
        <w:t>Informal inquiry</w:t>
      </w:r>
    </w:p>
    <w:p>
      <w:pPr>
        <w:tabs>
          <w:tab w:pos="432" w:val="left"/>
        </w:tabs>
        <w:spacing w:after="30" w:before="0" w:line="326" w:lineRule="auto"/>
        <w:ind w:left="432" w:hanging="317"/>
      </w:pPr>
      <w:r>
        <w:rPr>
          <w:rFonts w:ascii="Times New Roman" w:hAnsi="Times New Roman" w:cs="Times New Roman"/>
          <w:sz w:val="22"/>
        </w:rPr>
        <w:t>2.</w:t>
        <w:tab/>
      </w:r>
      <w:r>
        <w:rPr>
          <w:rFonts w:ascii="Times New Roman" w:hAnsi="Times New Roman" w:cs="Times New Roman"/>
          <w:sz w:val="22"/>
        </w:rPr>
        <w:t xml:space="preserve">Informal investigation under </w:t>
      </w:r>
      <w:r>
        <w:rPr>
          <w:rFonts w:ascii="Times New Roman" w:hAnsi="Times New Roman" w:cs="Times New Roman"/>
          <w:b/>
          <w:sz w:val="22"/>
        </w:rPr>
        <w:t>AR 15-6</w:t>
      </w:r>
    </w:p>
    <w:p>
      <w:pPr>
        <w:tabs>
          <w:tab w:pos="432" w:val="left"/>
        </w:tabs>
        <w:spacing w:after="30" w:before="0" w:line="326" w:lineRule="auto"/>
        <w:ind w:left="432" w:hanging="317"/>
      </w:pPr>
      <w:r>
        <w:rPr>
          <w:rFonts w:ascii="Times New Roman" w:hAnsi="Times New Roman" w:cs="Times New Roman"/>
          <w:sz w:val="22"/>
        </w:rPr>
        <w:t>3.</w:t>
        <w:tab/>
      </w:r>
      <w:r>
        <w:rPr>
          <w:rFonts w:ascii="Times New Roman" w:hAnsi="Times New Roman" w:cs="Times New Roman"/>
          <w:b/>
          <w:sz w:val="22"/>
        </w:rPr>
        <w:t>Article 32</w:t>
      </w:r>
      <w:r>
        <w:rPr>
          <w:rFonts w:ascii="Times New Roman" w:hAnsi="Times New Roman" w:cs="Times New Roman"/>
          <w:sz w:val="22"/>
        </w:rPr>
        <w:t xml:space="preserve"> preliminary hearing</w:t>
      </w:r>
    </w:p>
    <w:p>
      <w:pPr>
        <w:spacing w:after="100" w:line="326" w:lineRule="auto"/>
      </w:pPr>
      <w:r>
        <w:rPr>
          <w:rFonts w:ascii="Times New Roman" w:hAnsi="Times New Roman" w:cs="Times New Roman"/>
          <w:b/>
          <w:sz w:val="22"/>
        </w:rPr>
        <w:t>Investigation sequence:</w:t>
      </w:r>
    </w:p>
    <w:p>
      <w:pPr>
        <w:tabs>
          <w:tab w:pos="432" w:val="left"/>
        </w:tabs>
        <w:spacing w:after="30" w:before="0" w:line="326" w:lineRule="auto"/>
        <w:ind w:left="432" w:hanging="317"/>
      </w:pPr>
      <w:r>
        <w:rPr>
          <w:rFonts w:ascii="Times New Roman" w:hAnsi="Times New Roman" w:cs="Times New Roman"/>
          <w:sz w:val="22"/>
        </w:rPr>
        <w:t>1.</w:t>
        <w:tab/>
      </w:r>
      <w:r>
        <w:rPr>
          <w:rFonts w:ascii="Times New Roman" w:hAnsi="Times New Roman" w:cs="Times New Roman"/>
          <w:sz w:val="22"/>
        </w:rPr>
        <w:t>Discovery of incident or allegation</w:t>
      </w:r>
    </w:p>
    <w:p>
      <w:pPr>
        <w:tabs>
          <w:tab w:pos="432" w:val="left"/>
        </w:tabs>
        <w:spacing w:after="30" w:before="0" w:line="326" w:lineRule="auto"/>
        <w:ind w:left="432" w:hanging="317"/>
      </w:pPr>
      <w:r>
        <w:rPr>
          <w:rFonts w:ascii="Times New Roman" w:hAnsi="Times New Roman" w:cs="Times New Roman"/>
          <w:sz w:val="22"/>
        </w:rPr>
        <w:t>2.</w:t>
        <w:tab/>
      </w:r>
      <w:r>
        <w:rPr>
          <w:rFonts w:ascii="Times New Roman" w:hAnsi="Times New Roman" w:cs="Times New Roman"/>
          <w:sz w:val="22"/>
        </w:rPr>
        <w:t>Initial considerations</w:t>
      </w:r>
    </w:p>
    <w:p>
      <w:pPr>
        <w:tabs>
          <w:tab w:pos="432" w:val="left"/>
        </w:tabs>
        <w:spacing w:after="30" w:before="0" w:line="326" w:lineRule="auto"/>
        <w:ind w:left="432" w:hanging="317"/>
      </w:pPr>
      <w:r>
        <w:rPr>
          <w:rFonts w:ascii="Times New Roman" w:hAnsi="Times New Roman" w:cs="Times New Roman"/>
          <w:sz w:val="22"/>
        </w:rPr>
        <w:t>3.</w:t>
        <w:tab/>
      </w:r>
      <w:r>
        <w:rPr>
          <w:rFonts w:ascii="Times New Roman" w:hAnsi="Times New Roman" w:cs="Times New Roman"/>
          <w:sz w:val="22"/>
        </w:rPr>
        <w:t>Types of inquiries or investigations</w:t>
      </w:r>
    </w:p>
    <w:p>
      <w:pPr>
        <w:tabs>
          <w:tab w:pos="432" w:val="left"/>
        </w:tabs>
        <w:spacing w:after="30" w:before="0" w:line="326" w:lineRule="auto"/>
        <w:ind w:left="432" w:hanging="317"/>
      </w:pPr>
      <w:r>
        <w:rPr>
          <w:rFonts w:ascii="Times New Roman" w:hAnsi="Times New Roman" w:cs="Times New Roman"/>
          <w:sz w:val="22"/>
        </w:rPr>
        <w:t>4.</w:t>
        <w:tab/>
      </w:r>
      <w:r>
        <w:rPr>
          <w:rFonts w:ascii="Times New Roman" w:hAnsi="Times New Roman" w:cs="Times New Roman"/>
          <w:sz w:val="22"/>
        </w:rPr>
        <w:t>Conducting an investigation</w:t>
      </w:r>
    </w:p>
    <w:p>
      <w:pPr>
        <w:spacing w:after="100" w:line="326" w:lineRule="auto"/>
      </w:pPr>
      <w:r>
        <w:rPr>
          <w:rFonts w:ascii="Times New Roman" w:hAnsi="Times New Roman" w:cs="Times New Roman"/>
          <w:sz w:val="22"/>
        </w:rPr>
        <w:t>AR 15-6 is the regulation number to lock in here.</w:t>
      </w:r>
    </w:p>
    <w:p>
      <w:pPr>
        <w:keepNext/>
        <w:pBdr>
          <w:bottom w:val="single" w:sz="4" w:space="2" w:color="C4C4C4"/>
        </w:pBdr>
        <w:spacing w:before="150" w:after="70"/>
        <w:outlineLvl w:val="1"/>
      </w:pPr>
      <w:r>
        <w:rPr>
          <w:rFonts w:ascii="Arial" w:hAnsi="Arial" w:cs="Arial"/>
          <w:b/>
          <w:color w:val="1F3A5F"/>
          <w:sz w:val="25"/>
        </w:rPr>
        <w:t>2.9 Unlawful Command Influence, Core Concept (Slides 36 to 38)</w:t>
      </w:r>
    </w:p>
    <w:p>
      <w:pPr>
        <w:spacing w:after="100" w:line="326" w:lineRule="auto"/>
      </w:pPr>
      <w:r>
        <w:rPr>
          <w:rFonts w:ascii="Times New Roman" w:hAnsi="Times New Roman" w:cs="Times New Roman"/>
          <w:sz w:val="22"/>
        </w:rPr>
        <w:t>UCI is command action that improperly influences the outcome of a case. Two ideas from the deck matter most:</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A commander is responsible for UCI committed by </w:t>
      </w:r>
      <w:r>
        <w:rPr>
          <w:rFonts w:ascii="Times New Roman" w:hAnsi="Times New Roman" w:cs="Times New Roman"/>
          <w:b/>
          <w:sz w:val="22"/>
        </w:rPr>
        <w:t>subordinates and staff, regardless of the commander's knowledge or intentions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If a mistake is made, </w:t>
      </w:r>
      <w:r>
        <w:rPr>
          <w:rFonts w:ascii="Times New Roman" w:hAnsi="Times New Roman" w:cs="Times New Roman"/>
          <w:b/>
          <w:sz w:val="22"/>
        </w:rPr>
        <w:t>raise the issue immediately</w:t>
      </w:r>
      <w:r>
        <w:rPr>
          <w:rFonts w:ascii="Times New Roman" w:hAnsi="Times New Roman" w:cs="Times New Roman"/>
          <w:sz w:val="22"/>
        </w:rPr>
        <w:t xml:space="preserve"> and cure it with an appropriate remedy</w:t>
      </w:r>
    </w:p>
    <w:p>
      <w:pPr>
        <w:spacing w:after="100" w:line="326" w:lineRule="auto"/>
      </w:pPr>
      <w:r>
        <w:rPr>
          <w:rFonts w:ascii="Times New Roman" w:hAnsi="Times New Roman" w:cs="Times New Roman"/>
          <w:sz w:val="22"/>
        </w:rPr>
        <w:t>Those two are the ones most likely to appear as a standalone question. The full list of ten is in Tier 3.</w:t>
      </w:r>
    </w:p>
    <w:p>
      <w:pPr>
        <w:keepNext/>
        <w:pBdr>
          <w:bottom w:val="single" w:sz="4" w:space="2" w:color="C4C4C4"/>
        </w:pBdr>
        <w:spacing w:before="150" w:after="70"/>
        <w:outlineLvl w:val="1"/>
      </w:pPr>
      <w:r>
        <w:rPr>
          <w:rFonts w:ascii="Arial" w:hAnsi="Arial" w:cs="Arial"/>
          <w:b/>
          <w:color w:val="1F3A5F"/>
          <w:sz w:val="25"/>
        </w:rPr>
        <w:t>2.10 Crimes Under the UCMJ (Slide 4)</w:t>
      </w:r>
    </w:p>
    <w:p>
      <w:pPr>
        <w:spacing w:after="100" w:line="326" w:lineRule="auto"/>
      </w:pPr>
      <w:r>
        <w:rPr>
          <w:rFonts w:ascii="Times New Roman" w:hAnsi="Times New Roman" w:cs="Times New Roman"/>
          <w:b/>
          <w:sz w:val="22"/>
        </w:rPr>
        <w:t>Common law crimes:</w:t>
      </w:r>
      <w:r>
        <w:rPr>
          <w:rFonts w:ascii="Times New Roman" w:hAnsi="Times New Roman" w:cs="Times New Roman"/>
          <w:sz w:val="22"/>
        </w:rPr>
        <w:t xml:space="preserve"> homicide, rape, larceny, robbery, assault, burglary</w:t>
      </w:r>
    </w:p>
    <w:p>
      <w:pPr>
        <w:spacing w:after="100" w:line="326" w:lineRule="auto"/>
      </w:pPr>
      <w:r>
        <w:rPr>
          <w:rFonts w:ascii="Times New Roman" w:hAnsi="Times New Roman" w:cs="Times New Roman"/>
          <w:b/>
          <w:sz w:val="22"/>
        </w:rPr>
        <w:t>Military crimes:</w:t>
      </w:r>
      <w:r>
        <w:rPr>
          <w:rFonts w:ascii="Times New Roman" w:hAnsi="Times New Roman" w:cs="Times New Roman"/>
          <w:sz w:val="22"/>
        </w:rPr>
        <w:t xml:space="preserve"> disrespect, disobedience, AWOL, conduct unbecoming an officer, conduct prejudicial to good order and discipline</w:t>
      </w:r>
    </w:p>
    <w:p>
      <w:pPr>
        <w:spacing w:after="100" w:line="326" w:lineRule="auto"/>
      </w:pPr>
      <w:r>
        <w:rPr>
          <w:rFonts w:ascii="Times New Roman" w:hAnsi="Times New Roman" w:cs="Times New Roman"/>
          <w:sz w:val="22"/>
        </w:rPr>
        <w:t>The likely question format is sorting: given an offense, is it a common law crime or a uniquely military one?</w:t>
      </w:r>
    </w:p>
    <w:p>
      <w:pPr>
        <w:keepNext/>
        <w:pageBreakBefore/>
        <w:pBdr>
          <w:bottom w:val="single" w:sz="16" w:space="2" w:color="1F3A5F"/>
        </w:pBdr>
        <w:spacing w:before="0" w:after="80"/>
        <w:outlineLvl w:val="0"/>
      </w:pPr>
      <w:r>
        <w:rPr>
          <w:rFonts w:ascii="Arial" w:hAnsi="Arial" w:cs="Arial"/>
          <w:b/>
          <w:color w:val="1F3A5F"/>
          <w:sz w:val="36"/>
        </w:rPr>
        <w:t>TIER 3: Reference and Background</w:t>
      </w:r>
    </w:p>
    <w:p>
      <w:pPr>
        <w:keepNext/>
        <w:spacing w:before="100" w:after="160"/>
      </w:pPr>
      <w:r>
        <w:rPr>
          <w:rFonts w:ascii="Times New Roman" w:hAnsi="Times New Roman" w:cs="Times New Roman"/>
          <w:i/>
          <w:color w:val="333333"/>
          <w:sz w:val="21"/>
        </w:rPr>
        <w:t>Tier 3 is background and reference. Lower probability, but cheap to skim and it makes Tier 1 make sense.</w:t>
      </w:r>
    </w:p>
    <w:p>
      <w:pPr>
        <w:keepNext/>
        <w:pBdr>
          <w:bottom w:val="single" w:sz="4" w:space="2" w:color="C4C4C4"/>
        </w:pBdr>
        <w:spacing w:before="150" w:after="70"/>
        <w:outlineLvl w:val="1"/>
      </w:pPr>
      <w:r>
        <w:rPr>
          <w:rFonts w:ascii="Arial" w:hAnsi="Arial" w:cs="Arial"/>
          <w:b/>
          <w:color w:val="1F3A5F"/>
          <w:sz w:val="25"/>
        </w:rPr>
        <w:t>3.1 Purpose of the Military Justice System (Slide 2)</w:t>
      </w:r>
    </w:p>
    <w:p>
      <w:pPr>
        <w:tabs>
          <w:tab w:pos="432" w:val="left"/>
        </w:tabs>
        <w:spacing w:after="30" w:before="0" w:line="326" w:lineRule="auto"/>
        <w:ind w:left="432" w:hanging="317"/>
      </w:pPr>
      <w:r>
        <w:rPr>
          <w:rFonts w:ascii="Times New Roman" w:hAnsi="Times New Roman" w:cs="Times New Roman"/>
          <w:sz w:val="22"/>
        </w:rPr>
        <w:t>1.</w:t>
        <w:tab/>
      </w:r>
      <w:r>
        <w:rPr>
          <w:rFonts w:ascii="Times New Roman" w:hAnsi="Times New Roman" w:cs="Times New Roman"/>
          <w:sz w:val="22"/>
        </w:rPr>
        <w:t>Promote justice</w:t>
      </w:r>
    </w:p>
    <w:p>
      <w:pPr>
        <w:tabs>
          <w:tab w:pos="432" w:val="left"/>
        </w:tabs>
        <w:spacing w:after="30" w:before="0" w:line="326" w:lineRule="auto"/>
        <w:ind w:left="432" w:hanging="317"/>
      </w:pPr>
      <w:r>
        <w:rPr>
          <w:rFonts w:ascii="Times New Roman" w:hAnsi="Times New Roman" w:cs="Times New Roman"/>
          <w:sz w:val="22"/>
        </w:rPr>
        <w:t>2.</w:t>
        <w:tab/>
      </w:r>
      <w:r>
        <w:rPr>
          <w:rFonts w:ascii="Times New Roman" w:hAnsi="Times New Roman" w:cs="Times New Roman"/>
          <w:sz w:val="22"/>
        </w:rPr>
        <w:t>Help maintain good order and discipline in the armed forces</w:t>
      </w:r>
    </w:p>
    <w:p>
      <w:pPr>
        <w:tabs>
          <w:tab w:pos="432" w:val="left"/>
        </w:tabs>
        <w:spacing w:after="30" w:before="0" w:line="326" w:lineRule="auto"/>
        <w:ind w:left="432" w:hanging="317"/>
      </w:pPr>
      <w:r>
        <w:rPr>
          <w:rFonts w:ascii="Times New Roman" w:hAnsi="Times New Roman" w:cs="Times New Roman"/>
          <w:sz w:val="22"/>
        </w:rPr>
        <w:t>3.</w:t>
        <w:tab/>
      </w:r>
      <w:r>
        <w:rPr>
          <w:rFonts w:ascii="Times New Roman" w:hAnsi="Times New Roman" w:cs="Times New Roman"/>
          <w:sz w:val="22"/>
        </w:rPr>
        <w:t>Promote efficiency and effectiveness in the military</w:t>
      </w:r>
    </w:p>
    <w:p>
      <w:pPr>
        <w:tabs>
          <w:tab w:pos="432" w:val="left"/>
        </w:tabs>
        <w:spacing w:after="30" w:before="0" w:line="326" w:lineRule="auto"/>
        <w:ind w:left="432" w:hanging="317"/>
      </w:pPr>
      <w:r>
        <w:rPr>
          <w:rFonts w:ascii="Times New Roman" w:hAnsi="Times New Roman" w:cs="Times New Roman"/>
          <w:sz w:val="22"/>
        </w:rPr>
        <w:t>4.</w:t>
        <w:tab/>
      </w:r>
      <w:r>
        <w:rPr>
          <w:rFonts w:ascii="Times New Roman" w:hAnsi="Times New Roman" w:cs="Times New Roman"/>
          <w:sz w:val="22"/>
        </w:rPr>
        <w:t>Strengthen national security</w:t>
      </w:r>
    </w:p>
    <w:p>
      <w:pPr>
        <w:spacing w:after="100" w:line="326" w:lineRule="auto"/>
      </w:pPr>
      <w:r>
        <w:rPr>
          <w:rFonts w:ascii="Times New Roman" w:hAnsi="Times New Roman" w:cs="Times New Roman"/>
          <w:sz w:val="22"/>
        </w:rPr>
        <w:t>Low probability, but it is a clean four-item list, which is exactly the kind of thing that gets used to fill out an exam. Worth two minutes.</w:t>
      </w:r>
    </w:p>
    <w:p>
      <w:pPr>
        <w:keepNext/>
        <w:pBdr>
          <w:bottom w:val="single" w:sz="4" w:space="2" w:color="C4C4C4"/>
        </w:pBdr>
        <w:spacing w:before="150" w:after="70"/>
        <w:outlineLvl w:val="1"/>
      </w:pPr>
      <w:r>
        <w:rPr>
          <w:rFonts w:ascii="Arial" w:hAnsi="Arial" w:cs="Arial"/>
          <w:b/>
          <w:color w:val="1F3A5F"/>
          <w:sz w:val="25"/>
        </w:rPr>
        <w:t>3.2 The 10 Commandments of Unlawful Command Influence (Slides 37 to 38)</w:t>
      </w:r>
    </w:p>
    <w:p>
      <w:pPr>
        <w:tabs>
          <w:tab w:pos="432" w:val="left"/>
        </w:tabs>
        <w:spacing w:after="30" w:before="0" w:line="326" w:lineRule="auto"/>
        <w:ind w:left="432" w:hanging="317"/>
      </w:pPr>
      <w:r>
        <w:rPr>
          <w:rFonts w:ascii="Times New Roman" w:hAnsi="Times New Roman" w:cs="Times New Roman"/>
          <w:sz w:val="22"/>
        </w:rPr>
        <w:t>1.</w:t>
        <w:tab/>
      </w:r>
      <w:r>
        <w:rPr>
          <w:rFonts w:ascii="Times New Roman" w:hAnsi="Times New Roman" w:cs="Times New Roman"/>
          <w:sz w:val="22"/>
        </w:rPr>
        <w:t>Do not order a subordinate to dispose of a case in a certain way</w:t>
      </w:r>
    </w:p>
    <w:p>
      <w:pPr>
        <w:tabs>
          <w:tab w:pos="432" w:val="left"/>
        </w:tabs>
        <w:spacing w:after="30" w:before="0" w:line="326" w:lineRule="auto"/>
        <w:ind w:left="432" w:hanging="317"/>
      </w:pPr>
      <w:r>
        <w:rPr>
          <w:rFonts w:ascii="Times New Roman" w:hAnsi="Times New Roman" w:cs="Times New Roman"/>
          <w:sz w:val="22"/>
        </w:rPr>
        <w:t>2.</w:t>
        <w:tab/>
      </w:r>
      <w:r>
        <w:rPr>
          <w:rFonts w:ascii="Times New Roman" w:hAnsi="Times New Roman" w:cs="Times New Roman"/>
          <w:sz w:val="22"/>
        </w:rPr>
        <w:t>Do not communicate an inflexible policy on disposition or punishment</w:t>
      </w:r>
    </w:p>
    <w:p>
      <w:pPr>
        <w:tabs>
          <w:tab w:pos="432" w:val="left"/>
        </w:tabs>
        <w:spacing w:after="30" w:before="0" w:line="326" w:lineRule="auto"/>
        <w:ind w:left="432" w:hanging="317"/>
      </w:pPr>
      <w:r>
        <w:rPr>
          <w:rFonts w:ascii="Times New Roman" w:hAnsi="Times New Roman" w:cs="Times New Roman"/>
          <w:sz w:val="22"/>
        </w:rPr>
        <w:t>3.</w:t>
        <w:tab/>
      </w:r>
      <w:r>
        <w:rPr>
          <w:rFonts w:ascii="Times New Roman" w:hAnsi="Times New Roman" w:cs="Times New Roman"/>
          <w:sz w:val="22"/>
        </w:rPr>
        <w:t>The commander, if accuser, may not refer the case</w:t>
      </w:r>
    </w:p>
    <w:p>
      <w:pPr>
        <w:tabs>
          <w:tab w:pos="432" w:val="left"/>
        </w:tabs>
        <w:spacing w:after="30" w:before="0" w:line="326" w:lineRule="auto"/>
        <w:ind w:left="432" w:hanging="317"/>
      </w:pPr>
      <w:r>
        <w:rPr>
          <w:rFonts w:ascii="Times New Roman" w:hAnsi="Times New Roman" w:cs="Times New Roman"/>
          <w:sz w:val="22"/>
        </w:rPr>
        <w:t>4.</w:t>
        <w:tab/>
      </w:r>
      <w:r>
        <w:rPr>
          <w:rFonts w:ascii="Times New Roman" w:hAnsi="Times New Roman" w:cs="Times New Roman"/>
          <w:sz w:val="22"/>
        </w:rPr>
        <w:t>Do not stack the panel, nor select or remove court members to obtain a particular result</w:t>
      </w:r>
    </w:p>
    <w:p>
      <w:pPr>
        <w:tabs>
          <w:tab w:pos="432" w:val="left"/>
        </w:tabs>
        <w:spacing w:after="30" w:before="0" w:line="326" w:lineRule="auto"/>
        <w:ind w:left="432" w:hanging="317"/>
      </w:pPr>
      <w:r>
        <w:rPr>
          <w:rFonts w:ascii="Times New Roman" w:hAnsi="Times New Roman" w:cs="Times New Roman"/>
          <w:sz w:val="22"/>
        </w:rPr>
        <w:t>5.</w:t>
        <w:tab/>
      </w:r>
      <w:r>
        <w:rPr>
          <w:rFonts w:ascii="Times New Roman" w:hAnsi="Times New Roman" w:cs="Times New Roman"/>
          <w:sz w:val="22"/>
        </w:rPr>
        <w:t>Do not place outside pressure on the judge or court members to obtain a particular decision</w:t>
      </w:r>
    </w:p>
    <w:p>
      <w:pPr>
        <w:tabs>
          <w:tab w:pos="432" w:val="left"/>
        </w:tabs>
        <w:spacing w:after="30" w:before="0" w:line="326" w:lineRule="auto"/>
        <w:ind w:left="432" w:hanging="317"/>
      </w:pPr>
      <w:r>
        <w:rPr>
          <w:rFonts w:ascii="Times New Roman" w:hAnsi="Times New Roman" w:cs="Times New Roman"/>
          <w:sz w:val="22"/>
        </w:rPr>
        <w:t>6.</w:t>
        <w:tab/>
      </w:r>
      <w:r>
        <w:rPr>
          <w:rFonts w:ascii="Times New Roman" w:hAnsi="Times New Roman" w:cs="Times New Roman"/>
          <w:sz w:val="22"/>
        </w:rPr>
        <w:t>Do not intimidate witnesses or discourage them from testifying</w:t>
      </w:r>
    </w:p>
    <w:p>
      <w:pPr>
        <w:tabs>
          <w:tab w:pos="432" w:val="left"/>
        </w:tabs>
        <w:spacing w:after="30" w:before="0" w:line="326" w:lineRule="auto"/>
        <w:ind w:left="432" w:hanging="317"/>
      </w:pPr>
      <w:r>
        <w:rPr>
          <w:rFonts w:ascii="Times New Roman" w:hAnsi="Times New Roman" w:cs="Times New Roman"/>
          <w:sz w:val="22"/>
        </w:rPr>
        <w:t>7.</w:t>
        <w:tab/>
      </w:r>
      <w:r>
        <w:rPr>
          <w:rFonts w:ascii="Times New Roman" w:hAnsi="Times New Roman" w:cs="Times New Roman"/>
          <w:sz w:val="22"/>
        </w:rPr>
        <w:t>The court decides punishment; an accused may not be punished before trial</w:t>
      </w:r>
    </w:p>
    <w:p>
      <w:pPr>
        <w:tabs>
          <w:tab w:pos="432" w:val="left"/>
        </w:tabs>
        <w:spacing w:after="30" w:before="0" w:line="326" w:lineRule="auto"/>
        <w:ind w:left="432" w:hanging="317"/>
      </w:pPr>
      <w:r>
        <w:rPr>
          <w:rFonts w:ascii="Times New Roman" w:hAnsi="Times New Roman" w:cs="Times New Roman"/>
          <w:sz w:val="22"/>
        </w:rPr>
        <w:t>8.</w:t>
        <w:tab/>
      </w:r>
      <w:r>
        <w:rPr>
          <w:rFonts w:ascii="Times New Roman" w:hAnsi="Times New Roman" w:cs="Times New Roman"/>
          <w:sz w:val="22"/>
        </w:rPr>
        <w:t>Ensure subordinates and staff do not commit UCI, inadvertently or not</w:t>
      </w:r>
    </w:p>
    <w:p>
      <w:pPr>
        <w:tabs>
          <w:tab w:pos="432" w:val="left"/>
        </w:tabs>
        <w:spacing w:after="30" w:before="0" w:line="326" w:lineRule="auto"/>
        <w:ind w:left="432" w:hanging="317"/>
      </w:pPr>
      <w:r>
        <w:rPr>
          <w:rFonts w:ascii="Times New Roman" w:hAnsi="Times New Roman" w:cs="Times New Roman"/>
          <w:sz w:val="22"/>
        </w:rPr>
        <w:t>9.</w:t>
        <w:tab/>
      </w:r>
      <w:r>
        <w:rPr>
          <w:rFonts w:ascii="Times New Roman" w:hAnsi="Times New Roman" w:cs="Times New Roman"/>
          <w:sz w:val="22"/>
        </w:rPr>
        <w:t>Recognize that subordinates and staff may commit command influence attributed to the commander regardless of his knowledge or intentions</w:t>
      </w:r>
    </w:p>
    <w:p>
      <w:pPr>
        <w:tabs>
          <w:tab w:pos="432" w:val="left"/>
        </w:tabs>
        <w:spacing w:after="30" w:before="0" w:line="326" w:lineRule="auto"/>
        <w:ind w:left="432" w:hanging="317"/>
      </w:pPr>
      <w:r>
        <w:rPr>
          <w:rFonts w:ascii="Times New Roman" w:hAnsi="Times New Roman" w:cs="Times New Roman"/>
          <w:sz w:val="22"/>
        </w:rPr>
        <w:t>10.</w:t>
        <w:tab/>
      </w:r>
      <w:r>
        <w:rPr>
          <w:rFonts w:ascii="Times New Roman" w:hAnsi="Times New Roman" w:cs="Times New Roman"/>
          <w:sz w:val="22"/>
        </w:rPr>
        <w:t>The commander may not have an inflexible attitude toward clemency, and if a mistake is made, raise the issue immediately and cure it with an appropriate remedy</w:t>
      </w:r>
    </w:p>
    <w:p>
      <w:pPr>
        <w:spacing w:after="100" w:line="326" w:lineRule="auto"/>
      </w:pPr>
      <w:r>
        <w:rPr>
          <w:rFonts w:ascii="Times New Roman" w:hAnsi="Times New Roman" w:cs="Times New Roman"/>
          <w:sz w:val="22"/>
        </w:rPr>
        <w:t xml:space="preserve">The recurring theme across all ten is </w:t>
      </w:r>
      <w:r>
        <w:rPr>
          <w:rFonts w:ascii="Times New Roman" w:hAnsi="Times New Roman" w:cs="Times New Roman"/>
          <w:b/>
          <w:sz w:val="22"/>
        </w:rPr>
        <w:t>inflexibility and pressure</w:t>
      </w:r>
      <w:r>
        <w:rPr>
          <w:rFonts w:ascii="Times New Roman" w:hAnsi="Times New Roman" w:cs="Times New Roman"/>
          <w:sz w:val="22"/>
        </w:rPr>
        <w:t>. If an answer choice describes a commander with a fixed, no-exceptions policy on punishment or clemency, that is UCI.</w:t>
      </w:r>
    </w:p>
    <w:p>
      <w:pPr>
        <w:keepNext/>
        <w:pBdr>
          <w:bottom w:val="single" w:sz="4" w:space="2" w:color="C4C4C4"/>
        </w:pBdr>
        <w:spacing w:before="150" w:after="70"/>
        <w:outlineLvl w:val="1"/>
      </w:pPr>
      <w:r>
        <w:rPr>
          <w:rFonts w:ascii="Arial" w:hAnsi="Arial" w:cs="Arial"/>
          <w:b/>
          <w:color w:val="1F3A5F"/>
          <w:sz w:val="25"/>
        </w:rPr>
        <w:t>3.3 Full Administrative Actions List with Regulations (Slide 13)</w:t>
      </w:r>
    </w:p>
    <w:tbl>
      <w:tblPr>
        <w:tblStyle w:val="TableGrid"/>
        <w:tblW w:type="auto" w:w="0"/>
        <w:jc w:val="left"/>
        <w:tblBorders>
          <w:top w:val="single" w:sz="4" w:space="0" w:color="A8A8A8"/>
          <w:left w:val="single" w:sz="4" w:space="0" w:color="A8A8A8"/>
          <w:bottom w:val="single" w:sz="4" w:space="0" w:color="A8A8A8"/>
          <w:right w:val="single" w:sz="4" w:space="0" w:color="A8A8A8"/>
          <w:insideH w:val="single" w:sz="4" w:space="0" w:color="A8A8A8"/>
          <w:insideV w:val="single" w:sz="4" w:space="0" w:color="A8A8A8"/>
        </w:tblBorders>
        <w:tblLook w:firstColumn="1" w:firstRow="1" w:lastColumn="0" w:lastRow="0" w:noHBand="0" w:noVBand="1" w:val="04A0"/>
      </w:tblPr>
      <w:tblGrid>
        <w:gridCol w:w="4500"/>
        <w:gridCol w:w="4500"/>
      </w:tblGrid>
      <w:tr>
        <w:trPr>
          <w:tblHeader/>
        </w:trPr>
        <w:tc>
          <w:tcPr>
            <w:tcW w:type="dxa" w:w="4500"/>
            <w:shd w:val="clear" w:color="auto" w:fill="E6E6E6"/>
            <w:tcMar>
              <w:top w:w="50" w:type="dxa"/>
              <w:start w:w="86" w:type="dxa"/>
              <w:bottom w:w="50" w:type="dxa"/>
              <w:end w:w="86" w:type="dxa"/>
            </w:tcMar>
          </w:tcPr>
          <w:p>
            <w:pPr>
              <w:spacing w:after="0" w:line="276" w:lineRule="auto"/>
            </w:pPr>
            <w:r>
              <w:rPr>
                <w:rFonts w:ascii="Arial" w:hAnsi="Arial" w:cs="Arial"/>
                <w:b/>
                <w:sz w:val="19"/>
              </w:rPr>
              <w:t>Action</w:t>
            </w:r>
          </w:p>
        </w:tc>
        <w:tc>
          <w:tcPr>
            <w:tcW w:type="dxa" w:w="4500"/>
            <w:shd w:val="clear" w:color="auto" w:fill="E6E6E6"/>
            <w:tcMar>
              <w:top w:w="50" w:type="dxa"/>
              <w:start w:w="86" w:type="dxa"/>
              <w:bottom w:w="50" w:type="dxa"/>
              <w:end w:w="86" w:type="dxa"/>
            </w:tcMar>
          </w:tcPr>
          <w:p>
            <w:pPr>
              <w:spacing w:after="0" w:line="276" w:lineRule="auto"/>
            </w:pPr>
            <w:r>
              <w:rPr>
                <w:rFonts w:ascii="Arial" w:hAnsi="Arial" w:cs="Arial"/>
                <w:b/>
                <w:sz w:val="19"/>
              </w:rPr>
              <w:t>Regulation</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Counseling</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600-20</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Corrective Training</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600-20</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Administrative Reprimand</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600-37</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Bar to Reenlistment</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601-280</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FLAG</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600-8-2</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MOS Reclassification</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600-200</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Security Clearance Revocation</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380-67</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Relief from Duties</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(no reg cited)</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Adverse NCOER / OER</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(no reg cited)</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Removal from Special Status</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(no reg cited)</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Rehabilitative Transfer</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(no reg cited)</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Administrative Reductions</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600-8-19</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Administrative Separation</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AR 635-200</w:t>
            </w:r>
          </w:p>
        </w:tc>
      </w:tr>
    </w:tbl>
    <w:p>
      <w:pPr>
        <w:spacing w:after="0" w:line="240" w:lineRule="auto"/>
      </w:pPr>
      <w:r>
        <w:rPr>
          <w:rFonts w:ascii="Times New Roman" w:hAnsi="Times New Roman" w:cs="Times New Roman"/>
          <w:sz w:val="8"/>
        </w:rPr>
      </w:r>
    </w:p>
    <w:p>
      <w:pPr>
        <w:spacing w:after="100" w:line="326" w:lineRule="auto"/>
      </w:pPr>
      <w:r>
        <w:rPr>
          <w:rFonts w:ascii="Times New Roman" w:hAnsi="Times New Roman" w:cs="Times New Roman"/>
          <w:sz w:val="22"/>
        </w:rPr>
        <w:t xml:space="preserve">If you memorize only four regulation numbers, make them </w:t>
      </w:r>
      <w:r>
        <w:rPr>
          <w:rFonts w:ascii="Times New Roman" w:hAnsi="Times New Roman" w:cs="Times New Roman"/>
          <w:b/>
          <w:sz w:val="22"/>
        </w:rPr>
        <w:t>AR 600-20</w:t>
      </w:r>
      <w:r>
        <w:rPr>
          <w:rFonts w:ascii="Times New Roman" w:hAnsi="Times New Roman" w:cs="Times New Roman"/>
          <w:sz w:val="22"/>
        </w:rPr>
        <w:t xml:space="preserve"> (counseling and corrective training), </w:t>
      </w:r>
      <w:r>
        <w:rPr>
          <w:rFonts w:ascii="Times New Roman" w:hAnsi="Times New Roman" w:cs="Times New Roman"/>
          <w:b/>
          <w:sz w:val="22"/>
        </w:rPr>
        <w:t>AR 600-37</w:t>
      </w:r>
      <w:r>
        <w:rPr>
          <w:rFonts w:ascii="Times New Roman" w:hAnsi="Times New Roman" w:cs="Times New Roman"/>
          <w:sz w:val="22"/>
        </w:rPr>
        <w:t xml:space="preserve"> (reprimands), </w:t>
      </w:r>
      <w:r>
        <w:rPr>
          <w:rFonts w:ascii="Times New Roman" w:hAnsi="Times New Roman" w:cs="Times New Roman"/>
          <w:b/>
          <w:sz w:val="22"/>
        </w:rPr>
        <w:t>AR 635-200</w:t>
      </w:r>
      <w:r>
        <w:rPr>
          <w:rFonts w:ascii="Times New Roman" w:hAnsi="Times New Roman" w:cs="Times New Roman"/>
          <w:sz w:val="22"/>
        </w:rPr>
        <w:t xml:space="preserve"> (separations), and </w:t>
      </w:r>
      <w:r>
        <w:rPr>
          <w:rFonts w:ascii="Times New Roman" w:hAnsi="Times New Roman" w:cs="Times New Roman"/>
          <w:b/>
          <w:sz w:val="22"/>
        </w:rPr>
        <w:t>AR 15-6</w:t>
      </w:r>
      <w:r>
        <w:rPr>
          <w:rFonts w:ascii="Times New Roman" w:hAnsi="Times New Roman" w:cs="Times New Roman"/>
          <w:sz w:val="22"/>
        </w:rPr>
        <w:t xml:space="preserve"> (investigations).</w:t>
      </w:r>
    </w:p>
    <w:p>
      <w:pPr>
        <w:keepNext/>
        <w:pBdr>
          <w:bottom w:val="single" w:sz="4" w:space="2" w:color="C4C4C4"/>
        </w:pBdr>
        <w:spacing w:before="150" w:after="70"/>
        <w:outlineLvl w:val="1"/>
      </w:pPr>
      <w:r>
        <w:rPr>
          <w:rFonts w:ascii="Arial" w:hAnsi="Arial" w:cs="Arial"/>
          <w:b/>
          <w:color w:val="1F3A5F"/>
          <w:sz w:val="25"/>
        </w:rPr>
        <w:t>3.4 The Counseling "Magic Phrase" (Slide 15)</w:t>
      </w:r>
    </w:p>
    <w:p>
      <w:pPr>
        <w:spacing w:after="100" w:line="326" w:lineRule="auto"/>
      </w:pPr>
      <w:r>
        <w:rPr>
          <w:rFonts w:ascii="Times New Roman" w:hAnsi="Times New Roman" w:cs="Times New Roman"/>
          <w:sz w:val="22"/>
        </w:rPr>
        <w:t xml:space="preserve">Also called the silver bullet. You will not be asked to reproduce it, but know what it accomplishes: it puts the Soldier on notice that continued misconduct may result in separation, and it spells out that a General or OTH discharge could severely prejudice them in civilian life and that an OTH could cost them military and veterans benefits including educational benefits. It also states that further misconduct may result in elimination </w:t>
      </w:r>
      <w:r>
        <w:rPr>
          <w:rFonts w:ascii="Times New Roman" w:hAnsi="Times New Roman" w:cs="Times New Roman"/>
          <w:b/>
          <w:sz w:val="22"/>
        </w:rPr>
        <w:t>without further counseling</w:t>
      </w:r>
      <w:r>
        <w:rPr>
          <w:rFonts w:ascii="Times New Roman" w:hAnsi="Times New Roman" w:cs="Times New Roman"/>
          <w:sz w:val="22"/>
        </w:rPr>
        <w:t>.</w:t>
      </w:r>
    </w:p>
    <w:p>
      <w:pPr>
        <w:spacing w:after="100" w:line="326" w:lineRule="auto"/>
      </w:pPr>
      <w:r>
        <w:rPr>
          <w:rFonts w:ascii="Times New Roman" w:hAnsi="Times New Roman" w:cs="Times New Roman"/>
          <w:sz w:val="22"/>
        </w:rPr>
        <w:t>The testable idea is the function, which is formal notice, cited to AR 635-200 paragraph 1-16.</w:t>
      </w:r>
    </w:p>
    <w:p>
      <w:pPr>
        <w:keepNext/>
        <w:pBdr>
          <w:bottom w:val="single" w:sz="4" w:space="2" w:color="C4C4C4"/>
        </w:pBdr>
        <w:spacing w:before="150" w:after="70"/>
        <w:outlineLvl w:val="1"/>
      </w:pPr>
      <w:r>
        <w:rPr>
          <w:rFonts w:ascii="Arial" w:hAnsi="Arial" w:cs="Arial"/>
          <w:b/>
          <w:color w:val="1F3A5F"/>
          <w:sz w:val="25"/>
        </w:rPr>
        <w:t>3.5 The Bar to Continued Service (Slide 18)</w:t>
      </w:r>
    </w:p>
    <w:p>
      <w:pPr>
        <w:spacing w:after="100" w:line="326" w:lineRule="auto"/>
      </w:pPr>
      <w:r>
        <w:rPr>
          <w:rFonts w:ascii="Times New Roman" w:hAnsi="Times New Roman" w:cs="Times New Roman"/>
          <w:sz w:val="22"/>
        </w:rPr>
        <w:t xml:space="preserve">Framing statement: the Army desires to retain only those Soldiers of </w:t>
      </w:r>
      <w:r>
        <w:rPr>
          <w:rFonts w:ascii="Times New Roman" w:hAnsi="Times New Roman" w:cs="Times New Roman"/>
          <w:b/>
          <w:sz w:val="22"/>
        </w:rPr>
        <w:t>high moral character, competence, and demonstrated adaptability</w:t>
      </w:r>
      <w:r>
        <w:rPr>
          <w:rFonts w:ascii="Times New Roman" w:hAnsi="Times New Roman" w:cs="Times New Roman"/>
          <w:sz w:val="22"/>
        </w:rPr>
        <w:t xml:space="preserve"> (AR 601-280). The mandatory grounds under Directive 2012-03 are in section 1.12.</w:t>
      </w:r>
    </w:p>
    <w:p>
      <w:pPr>
        <w:keepNext/>
        <w:pBdr>
          <w:bottom w:val="single" w:sz="16" w:space="2" w:color="1F3A5F"/>
        </w:pBdr>
        <w:spacing w:before="280" w:after="80"/>
        <w:outlineLvl w:val="0"/>
      </w:pPr>
      <w:r>
        <w:rPr>
          <w:rFonts w:ascii="Arial" w:hAnsi="Arial" w:cs="Arial"/>
          <w:b/>
          <w:color w:val="1F3A5F"/>
          <w:sz w:val="36"/>
        </w:rPr>
        <w:t>Rapid Review: Numbers to Memorize</w:t>
      </w:r>
    </w:p>
    <w:p>
      <w:pPr>
        <w:keepNext/>
        <w:spacing w:before="100" w:after="160"/>
      </w:pPr>
    </w:p>
    <w:tbl>
      <w:tblPr>
        <w:tblStyle w:val="TableGrid"/>
        <w:tblW w:type="auto" w:w="0"/>
        <w:jc w:val="left"/>
        <w:tblBorders>
          <w:top w:val="single" w:sz="4" w:space="0" w:color="A8A8A8"/>
          <w:left w:val="single" w:sz="4" w:space="0" w:color="A8A8A8"/>
          <w:bottom w:val="single" w:sz="4" w:space="0" w:color="A8A8A8"/>
          <w:right w:val="single" w:sz="4" w:space="0" w:color="A8A8A8"/>
          <w:insideH w:val="single" w:sz="4" w:space="0" w:color="A8A8A8"/>
          <w:insideV w:val="single" w:sz="4" w:space="0" w:color="A8A8A8"/>
        </w:tblBorders>
        <w:tblLook w:firstColumn="1" w:firstRow="1" w:lastColumn="0" w:lastRow="0" w:noHBand="0" w:noVBand="1" w:val="04A0"/>
      </w:tblPr>
      <w:tblGrid>
        <w:gridCol w:w="4500"/>
        <w:gridCol w:w="4500"/>
      </w:tblGrid>
      <w:tr>
        <w:trPr>
          <w:tblHeader/>
        </w:trPr>
        <w:tc>
          <w:tcPr>
            <w:tcW w:type="dxa" w:w="4500"/>
            <w:shd w:val="clear" w:color="auto" w:fill="E6E6E6"/>
            <w:tcMar>
              <w:top w:w="50" w:type="dxa"/>
              <w:start w:w="86" w:type="dxa"/>
              <w:bottom w:w="50" w:type="dxa"/>
              <w:end w:w="86" w:type="dxa"/>
            </w:tcMar>
          </w:tcPr>
          <w:p>
            <w:pPr>
              <w:spacing w:after="0" w:line="276" w:lineRule="auto"/>
            </w:pPr>
            <w:r>
              <w:rPr>
                <w:rFonts w:ascii="Arial" w:hAnsi="Arial" w:cs="Arial"/>
                <w:b/>
                <w:sz w:val="19"/>
              </w:rPr>
              <w:t>Number</w:t>
            </w:r>
          </w:p>
        </w:tc>
        <w:tc>
          <w:tcPr>
            <w:tcW w:type="dxa" w:w="4500"/>
            <w:shd w:val="clear" w:color="auto" w:fill="E6E6E6"/>
            <w:tcMar>
              <w:top w:w="50" w:type="dxa"/>
              <w:start w:w="86" w:type="dxa"/>
              <w:bottom w:w="50" w:type="dxa"/>
              <w:end w:w="86" w:type="dxa"/>
            </w:tcMar>
          </w:tcPr>
          <w:p>
            <w:pPr>
              <w:spacing w:after="0" w:line="276" w:lineRule="auto"/>
            </w:pPr>
            <w:r>
              <w:rPr>
                <w:rFonts w:ascii="Arial" w:hAnsi="Arial" w:cs="Arial"/>
                <w:b/>
                <w:sz w:val="19"/>
              </w:rPr>
              <w:t>What it counts</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Officials who may authorize a search</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Things a commander inquires about before NJP</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Waiver questions under Article 31(b)</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Types of court-martial</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Service characterizations</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3</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Mandatory bar grounds under Directive 2012-03</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4</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Rights under Article 31(b)</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4</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Rights at an Article 32 hearing</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4</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Types of pretrial restraint</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4</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Purposes of the military justice system</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5</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Commander's responsibilities</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5 days</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To file objections to the Article 32 report</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6 years</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Service threshold for a separation board</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7</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Rights under Article 15</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10</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Commandments of unlawful command influence</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14</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Nonbinding disposition factors</w:t>
            </w:r>
          </w:p>
        </w:tc>
      </w:tr>
      <w:tr>
        <w:tc>
          <w:tcPr>
            <w:tcW w:type="dxa" w:w="4500"/>
            <w:tcMar>
              <w:top w:w="43" w:type="dxa"/>
              <w:start w:w="86" w:type="dxa"/>
              <w:bottom w:w="43" w:type="dxa"/>
              <w:end w:w="86" w:type="dxa"/>
            </w:tcMar>
          </w:tcPr>
          <w:p>
            <w:pPr>
              <w:spacing w:after="0" w:line="288" w:lineRule="auto"/>
            </w:pPr>
            <w:r>
              <w:rPr>
                <w:rFonts w:ascii="Times New Roman" w:hAnsi="Times New Roman" w:cs="Times New Roman"/>
                <w:b/>
                <w:sz w:val="20"/>
              </w:rPr>
              <w:t>70%</w:t>
            </w:r>
          </w:p>
        </w:tc>
        <w:tc>
          <w:tcPr>
            <w:tcW w:type="dxa" w:w="4500"/>
            <w:tcMar>
              <w:top w:w="43" w:type="dxa"/>
              <w:start w:w="86" w:type="dxa"/>
              <w:bottom w:w="43" w:type="dxa"/>
              <w:end w:w="86" w:type="dxa"/>
            </w:tcMar>
          </w:tcPr>
          <w:p>
            <w:pPr>
              <w:spacing w:after="0" w:line="288" w:lineRule="auto"/>
            </w:pPr>
            <w:r>
              <w:rPr>
                <w:rFonts w:ascii="Times New Roman" w:hAnsi="Times New Roman" w:cs="Times New Roman"/>
                <w:sz w:val="20"/>
              </w:rPr>
              <w:t>Passing score on this exam</w:t>
            </w:r>
          </w:p>
        </w:tc>
      </w:tr>
    </w:tbl>
    <w:p>
      <w:pPr>
        <w:spacing w:after="0" w:line="240" w:lineRule="auto"/>
      </w:pPr>
      <w:r>
        <w:rPr>
          <w:rFonts w:ascii="Times New Roman" w:hAnsi="Times New Roman" w:cs="Times New Roman"/>
          <w:sz w:val="8"/>
        </w:rPr>
      </w:r>
    </w:p>
    <w:p>
      <w:pPr>
        <w:keepNext/>
        <w:pBdr>
          <w:bottom w:val="single" w:sz="16" w:space="2" w:color="1F3A5F"/>
        </w:pBdr>
        <w:spacing w:before="280" w:after="80"/>
        <w:outlineLvl w:val="0"/>
      </w:pPr>
      <w:r>
        <w:rPr>
          <w:rFonts w:ascii="Arial" w:hAnsi="Arial" w:cs="Arial"/>
          <w:b/>
          <w:color w:val="1F3A5F"/>
          <w:sz w:val="36"/>
        </w:rPr>
        <w:t>The Ten Most Likely Missed Details</w:t>
      </w:r>
    </w:p>
    <w:p>
      <w:pPr>
        <w:keepNext/>
        <w:spacing w:before="100" w:after="160"/>
      </w:pPr>
    </w:p>
    <w:p>
      <w:pPr>
        <w:tabs>
          <w:tab w:pos="432" w:val="left"/>
        </w:tabs>
        <w:spacing w:after="30" w:before="0" w:line="326" w:lineRule="auto"/>
        <w:ind w:left="432" w:hanging="317"/>
      </w:pPr>
      <w:r>
        <w:rPr>
          <w:rFonts w:ascii="Times New Roman" w:hAnsi="Times New Roman" w:cs="Times New Roman"/>
          <w:sz w:val="22"/>
        </w:rPr>
        <w:t>1.</w:t>
        <w:tab/>
      </w:r>
      <w:r>
        <w:rPr>
          <w:rFonts w:ascii="Times New Roman" w:hAnsi="Times New Roman" w:cs="Times New Roman"/>
          <w:sz w:val="22"/>
        </w:rPr>
        <w:t xml:space="preserve">Article 15 right to counsel applies to </w:t>
      </w:r>
      <w:r>
        <w:rPr>
          <w:rFonts w:ascii="Times New Roman" w:hAnsi="Times New Roman" w:cs="Times New Roman"/>
          <w:b/>
          <w:sz w:val="22"/>
        </w:rPr>
        <w:t>formal proceedings only</w:t>
      </w:r>
    </w:p>
    <w:p>
      <w:pPr>
        <w:tabs>
          <w:tab w:pos="432" w:val="left"/>
        </w:tabs>
        <w:spacing w:after="30" w:before="0" w:line="326" w:lineRule="auto"/>
        <w:ind w:left="432" w:hanging="317"/>
      </w:pPr>
      <w:r>
        <w:rPr>
          <w:rFonts w:ascii="Times New Roman" w:hAnsi="Times New Roman" w:cs="Times New Roman"/>
          <w:sz w:val="22"/>
        </w:rPr>
        <w:t>2.</w:t>
        <w:tab/>
      </w:r>
      <w:r>
        <w:rPr>
          <w:rFonts w:ascii="Times New Roman" w:hAnsi="Times New Roman" w:cs="Times New Roman"/>
          <w:sz w:val="22"/>
        </w:rPr>
        <w:t xml:space="preserve">Separation board is triggered by more than 6 years </w:t>
      </w:r>
      <w:r>
        <w:rPr>
          <w:rFonts w:ascii="Times New Roman" w:hAnsi="Times New Roman" w:cs="Times New Roman"/>
          <w:b/>
          <w:sz w:val="22"/>
        </w:rPr>
        <w:t>OR</w:t>
      </w:r>
      <w:r>
        <w:rPr>
          <w:rFonts w:ascii="Times New Roman" w:hAnsi="Times New Roman" w:cs="Times New Roman"/>
          <w:sz w:val="22"/>
        </w:rPr>
        <w:t xml:space="preserve"> an OTH recommendation, not both</w:t>
      </w:r>
    </w:p>
    <w:p>
      <w:pPr>
        <w:tabs>
          <w:tab w:pos="432" w:val="left"/>
        </w:tabs>
        <w:spacing w:after="30" w:before="0" w:line="326" w:lineRule="auto"/>
        <w:ind w:left="432" w:hanging="317"/>
      </w:pPr>
      <w:r>
        <w:rPr>
          <w:rFonts w:ascii="Times New Roman" w:hAnsi="Times New Roman" w:cs="Times New Roman"/>
          <w:sz w:val="22"/>
        </w:rPr>
        <w:t>3.</w:t>
        <w:tab/>
      </w:r>
      <w:r>
        <w:rPr>
          <w:rFonts w:ascii="Times New Roman" w:hAnsi="Times New Roman" w:cs="Times New Roman"/>
          <w:sz w:val="22"/>
        </w:rPr>
        <w:t xml:space="preserve">Article 31(b) warning requires </w:t>
      </w:r>
      <w:r>
        <w:rPr>
          <w:rFonts w:ascii="Times New Roman" w:hAnsi="Times New Roman" w:cs="Times New Roman"/>
          <w:b/>
          <w:sz w:val="22"/>
        </w:rPr>
        <w:t>all three</w:t>
      </w:r>
      <w:r>
        <w:rPr>
          <w:rFonts w:ascii="Times New Roman" w:hAnsi="Times New Roman" w:cs="Times New Roman"/>
          <w:sz w:val="22"/>
        </w:rPr>
        <w:t xml:space="preserve"> conditions: official capacity, prior to questioning, suspect or accused</w:t>
      </w:r>
    </w:p>
    <w:p>
      <w:pPr>
        <w:tabs>
          <w:tab w:pos="432" w:val="left"/>
        </w:tabs>
        <w:spacing w:after="30" w:before="0" w:line="326" w:lineRule="auto"/>
        <w:ind w:left="432" w:hanging="317"/>
      </w:pPr>
      <w:r>
        <w:rPr>
          <w:rFonts w:ascii="Times New Roman" w:hAnsi="Times New Roman" w:cs="Times New Roman"/>
          <w:sz w:val="22"/>
        </w:rPr>
        <w:t>4.</w:t>
        <w:tab/>
      </w:r>
      <w:r>
        <w:rPr>
          <w:rFonts w:ascii="Times New Roman" w:hAnsi="Times New Roman" w:cs="Times New Roman"/>
          <w:sz w:val="22"/>
        </w:rPr>
        <w:t xml:space="preserve">National Guard falls under UCMJ </w:t>
      </w:r>
      <w:r>
        <w:rPr>
          <w:rFonts w:ascii="Times New Roman" w:hAnsi="Times New Roman" w:cs="Times New Roman"/>
          <w:b/>
          <w:sz w:val="22"/>
        </w:rPr>
        <w:t>in Federal (Title 10) service</w:t>
      </w:r>
    </w:p>
    <w:p>
      <w:pPr>
        <w:tabs>
          <w:tab w:pos="432" w:val="left"/>
        </w:tabs>
        <w:spacing w:after="30" w:before="0" w:line="326" w:lineRule="auto"/>
        <w:ind w:left="432" w:hanging="317"/>
      </w:pPr>
      <w:r>
        <w:rPr>
          <w:rFonts w:ascii="Times New Roman" w:hAnsi="Times New Roman" w:cs="Times New Roman"/>
          <w:sz w:val="22"/>
        </w:rPr>
        <w:t>5.</w:t>
        <w:tab/>
      </w:r>
      <w:r>
        <w:rPr>
          <w:rFonts w:ascii="Times New Roman" w:hAnsi="Times New Roman" w:cs="Times New Roman"/>
          <w:sz w:val="22"/>
        </w:rPr>
        <w:t xml:space="preserve">Reservists are covered </w:t>
      </w:r>
      <w:r>
        <w:rPr>
          <w:rFonts w:ascii="Times New Roman" w:hAnsi="Times New Roman" w:cs="Times New Roman"/>
          <w:b/>
          <w:sz w:val="22"/>
        </w:rPr>
        <w:t>while on active duty</w:t>
      </w:r>
    </w:p>
    <w:p>
      <w:pPr>
        <w:tabs>
          <w:tab w:pos="432" w:val="left"/>
        </w:tabs>
        <w:spacing w:after="30" w:before="0" w:line="326" w:lineRule="auto"/>
        <w:ind w:left="432" w:hanging="317"/>
      </w:pPr>
      <w:r>
        <w:rPr>
          <w:rFonts w:ascii="Times New Roman" w:hAnsi="Times New Roman" w:cs="Times New Roman"/>
          <w:sz w:val="22"/>
        </w:rPr>
        <w:t>6.</w:t>
        <w:tab/>
      </w:r>
      <w:r>
        <w:rPr>
          <w:rFonts w:ascii="Times New Roman" w:hAnsi="Times New Roman" w:cs="Times New Roman"/>
          <w:sz w:val="22"/>
        </w:rPr>
        <w:t>Article 133 is officers; Article 134 is good order and discipline</w:t>
      </w:r>
    </w:p>
    <w:p>
      <w:pPr>
        <w:tabs>
          <w:tab w:pos="432" w:val="left"/>
        </w:tabs>
        <w:spacing w:after="30" w:before="0" w:line="326" w:lineRule="auto"/>
        <w:ind w:left="432" w:hanging="317"/>
      </w:pPr>
      <w:r>
        <w:rPr>
          <w:rFonts w:ascii="Times New Roman" w:hAnsi="Times New Roman" w:cs="Times New Roman"/>
          <w:sz w:val="22"/>
        </w:rPr>
        <w:t>7.</w:t>
        <w:tab/>
      </w:r>
      <w:r>
        <w:rPr>
          <w:rFonts w:ascii="Times New Roman" w:hAnsi="Times New Roman" w:cs="Times New Roman"/>
          <w:sz w:val="22"/>
        </w:rPr>
        <w:t xml:space="preserve">Inspections do </w:t>
      </w:r>
      <w:r>
        <w:rPr>
          <w:rFonts w:ascii="Times New Roman" w:hAnsi="Times New Roman" w:cs="Times New Roman"/>
          <w:b/>
          <w:sz w:val="22"/>
        </w:rPr>
        <w:t>not</w:t>
      </w:r>
      <w:r>
        <w:rPr>
          <w:rFonts w:ascii="Times New Roman" w:hAnsi="Times New Roman" w:cs="Times New Roman"/>
          <w:sz w:val="22"/>
        </w:rPr>
        <w:t xml:space="preserve"> require probable cause because they are not searches</w:t>
      </w:r>
    </w:p>
    <w:p>
      <w:pPr>
        <w:tabs>
          <w:tab w:pos="432" w:val="left"/>
        </w:tabs>
        <w:spacing w:after="30" w:before="0" w:line="326" w:lineRule="auto"/>
        <w:ind w:left="432" w:hanging="317"/>
      </w:pPr>
      <w:r>
        <w:rPr>
          <w:rFonts w:ascii="Times New Roman" w:hAnsi="Times New Roman" w:cs="Times New Roman"/>
          <w:sz w:val="22"/>
        </w:rPr>
        <w:t>8.</w:t>
        <w:tab/>
      </w:r>
      <w:r>
        <w:rPr>
          <w:rFonts w:ascii="Times New Roman" w:hAnsi="Times New Roman" w:cs="Times New Roman"/>
          <w:sz w:val="22"/>
        </w:rPr>
        <w:t xml:space="preserve">Apprehension </w:t>
      </w:r>
      <w:r>
        <w:rPr>
          <w:rFonts w:ascii="Times New Roman" w:hAnsi="Times New Roman" w:cs="Times New Roman"/>
          <w:b/>
          <w:sz w:val="22"/>
        </w:rPr>
        <w:t>in the home</w:t>
      </w:r>
      <w:r>
        <w:rPr>
          <w:rFonts w:ascii="Times New Roman" w:hAnsi="Times New Roman" w:cs="Times New Roman"/>
          <w:sz w:val="22"/>
        </w:rPr>
        <w:t xml:space="preserve"> requires a warrant</w:t>
      </w:r>
    </w:p>
    <w:p>
      <w:pPr>
        <w:tabs>
          <w:tab w:pos="432" w:val="left"/>
        </w:tabs>
        <w:spacing w:after="30" w:before="0" w:line="326" w:lineRule="auto"/>
        <w:ind w:left="432" w:hanging="317"/>
      </w:pPr>
      <w:r>
        <w:rPr>
          <w:rFonts w:ascii="Times New Roman" w:hAnsi="Times New Roman" w:cs="Times New Roman"/>
          <w:sz w:val="22"/>
        </w:rPr>
        <w:t>9.</w:t>
        <w:tab/>
      </w:r>
      <w:r>
        <w:rPr>
          <w:rFonts w:ascii="Times New Roman" w:hAnsi="Times New Roman" w:cs="Times New Roman"/>
          <w:sz w:val="22"/>
        </w:rPr>
        <w:t>Corrective training must be related to the deficiency and must not be degrading</w:t>
      </w:r>
    </w:p>
    <w:p>
      <w:pPr>
        <w:tabs>
          <w:tab w:pos="432" w:val="left"/>
        </w:tabs>
        <w:spacing w:after="30" w:before="0" w:line="326" w:lineRule="auto"/>
        <w:ind w:left="432" w:hanging="317"/>
      </w:pPr>
      <w:r>
        <w:rPr>
          <w:rFonts w:ascii="Times New Roman" w:hAnsi="Times New Roman" w:cs="Times New Roman"/>
          <w:sz w:val="22"/>
        </w:rPr>
        <w:t>10.</w:t>
        <w:tab/>
      </w:r>
      <w:r>
        <w:rPr>
          <w:rFonts w:ascii="Times New Roman" w:hAnsi="Times New Roman" w:cs="Times New Roman"/>
          <w:sz w:val="22"/>
        </w:rPr>
        <w:t xml:space="preserve">A commander owns UCI committed by staff </w:t>
      </w:r>
      <w:r>
        <w:rPr>
          <w:rFonts w:ascii="Times New Roman" w:hAnsi="Times New Roman" w:cs="Times New Roman"/>
          <w:b/>
          <w:sz w:val="22"/>
        </w:rPr>
        <w:t>regardless of knowledge or intent</w:t>
      </w:r>
    </w:p>
    <w:p>
      <w:pPr>
        <w:keepNext/>
        <w:pageBreakBefore/>
        <w:pBdr>
          <w:bottom w:val="single" w:sz="16" w:space="2" w:color="1F3A5F"/>
        </w:pBdr>
        <w:spacing w:before="0" w:after="80"/>
        <w:outlineLvl w:val="0"/>
      </w:pPr>
      <w:r>
        <w:rPr>
          <w:rFonts w:ascii="Arial" w:hAnsi="Arial" w:cs="Arial"/>
          <w:b/>
          <w:color w:val="1F3A5F"/>
          <w:sz w:val="36"/>
        </w:rPr>
        <w:t>Addendum: Asked in Class</w:t>
      </w:r>
    </w:p>
    <w:p>
      <w:pPr>
        <w:keepNext/>
        <w:spacing w:before="100" w:after="160"/>
      </w:pPr>
    </w:p>
    <w:p>
      <w:pPr>
        <w:spacing w:after="100" w:line="326" w:lineRule="auto"/>
      </w:pPr>
      <w:r>
        <w:rPr>
          <w:rFonts w:ascii="Times New Roman" w:hAnsi="Times New Roman" w:cs="Times New Roman"/>
          <w:b/>
          <w:sz w:val="22"/>
        </w:rPr>
        <w:t>Not on the slides, and not expected on the exam.</w:t>
      </w:r>
      <w:r>
        <w:rPr>
          <w:rFonts w:ascii="Times New Roman" w:hAnsi="Times New Roman" w:cs="Times New Roman"/>
          <w:sz w:val="22"/>
        </w:rPr>
        <w:t xml:space="preserve"> This is here because it was asked during the class and an answer was promised.</w:t>
      </w:r>
    </w:p>
    <w:p>
      <w:pPr>
        <w:keepNext/>
        <w:pBdr>
          <w:bottom w:val="single" w:sz="4" w:space="2" w:color="C4C4C4"/>
        </w:pBdr>
        <w:spacing w:before="150" w:after="70"/>
        <w:outlineLvl w:val="1"/>
      </w:pPr>
      <w:r>
        <w:rPr>
          <w:rFonts w:ascii="Arial" w:hAnsi="Arial" w:cs="Arial"/>
          <w:b/>
          <w:color w:val="1F3A5F"/>
          <w:sz w:val="25"/>
        </w:rPr>
        <w:t>A.1 Apprehension in the home: on post or off post? (Slide 28)</w:t>
      </w:r>
    </w:p>
    <w:p>
      <w:pPr>
        <w:spacing w:after="100" w:line="326" w:lineRule="auto"/>
      </w:pPr>
      <w:r>
        <w:rPr>
          <w:rFonts w:ascii="Times New Roman" w:hAnsi="Times New Roman" w:cs="Times New Roman"/>
          <w:sz w:val="22"/>
        </w:rPr>
        <w:t>The deck says apprehension in the home requires a warrant. The question asked was whether "home" means a house on post or a house off post.</w:t>
      </w:r>
    </w:p>
    <w:p>
      <w:pPr>
        <w:spacing w:after="100" w:line="326" w:lineRule="auto"/>
      </w:pPr>
      <w:r>
        <w:rPr>
          <w:rFonts w:ascii="Times New Roman" w:hAnsi="Times New Roman" w:cs="Times New Roman"/>
          <w:sz w:val="22"/>
        </w:rPr>
        <w:t xml:space="preserve">The dividing line is not on post versus off post. It is whether the place is a </w:t>
      </w:r>
      <w:r>
        <w:rPr>
          <w:rFonts w:ascii="Times New Roman" w:hAnsi="Times New Roman" w:cs="Times New Roman"/>
          <w:b/>
          <w:sz w:val="22"/>
        </w:rPr>
        <w:t>private dwelling</w:t>
      </w:r>
      <w:r>
        <w:rPr>
          <w:rFonts w:ascii="Times New Roman" w:hAnsi="Times New Roman" w:cs="Times New Roman"/>
          <w:sz w:val="22"/>
        </w:rPr>
        <w:t xml:space="preserve"> under </w:t>
      </w:r>
      <w:r>
        <w:rPr>
          <w:rFonts w:ascii="Times New Roman" w:hAnsi="Times New Roman" w:cs="Times New Roman"/>
          <w:b/>
          <w:sz w:val="22"/>
        </w:rPr>
        <w:t>R.C.M. 302(e)(2)</w:t>
      </w:r>
      <w:r>
        <w:rPr>
          <w:rFonts w:ascii="Times New Roman" w:hAnsi="Times New Roman" w:cs="Times New Roman"/>
          <w:sz w:val="22"/>
        </w:rPr>
        <w:t>.</w:t>
      </w:r>
    </w:p>
    <w:p>
      <w:pPr>
        <w:spacing w:after="100" w:line="326" w:lineRule="auto"/>
      </w:pPr>
      <w:r>
        <w:rPr>
          <w:rFonts w:ascii="Times New Roman" w:hAnsi="Times New Roman" w:cs="Times New Roman"/>
          <w:sz w:val="22"/>
        </w:rPr>
        <w:t>Counts as a private dwelling:</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Single family houses, duplexes, and apartments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b/>
          <w:sz w:val="22"/>
        </w:rPr>
        <w:t>Government quarters on post</w:t>
      </w:r>
      <w:r>
        <w:rPr>
          <w:rFonts w:ascii="Times New Roman" w:hAnsi="Times New Roman" w:cs="Times New Roman"/>
          <w:sz w:val="22"/>
        </w:rPr>
        <w:t>, same as a residence off post</w:t>
      </w:r>
    </w:p>
    <w:p>
      <w:pPr>
        <w:spacing w:after="100" w:line="326" w:lineRule="auto"/>
      </w:pPr>
      <w:r>
        <w:rPr>
          <w:rFonts w:ascii="Times New Roman" w:hAnsi="Times New Roman" w:cs="Times New Roman"/>
          <w:sz w:val="22"/>
        </w:rPr>
        <w:t>Does not count as a private dwelling:</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 xml:space="preserve">Living areas in </w:t>
      </w:r>
      <w:r>
        <w:rPr>
          <w:rFonts w:ascii="Times New Roman" w:hAnsi="Times New Roman" w:cs="Times New Roman"/>
          <w:b/>
          <w:sz w:val="22"/>
        </w:rPr>
        <w:t>barracks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Vessels, aircraft, and vehicles</w:t>
      </w:r>
    </w:p>
    <w:p>
      <w:pPr>
        <w:tabs>
          <w:tab w:pos="432" w:val="left"/>
        </w:tabs>
        <w:spacing w:after="30" w:before="0" w:line="326" w:lineRule="auto"/>
        <w:ind w:left="432" w:hanging="317"/>
      </w:pPr>
      <w:r>
        <w:rPr>
          <w:rFonts w:ascii="Times New Roman" w:hAnsi="Times New Roman" w:cs="Times New Roman"/>
          <w:sz w:val="22"/>
        </w:rPr>
        <w:t>•</w:t>
        <w:tab/>
      </w:r>
      <w:r>
        <w:rPr>
          <w:rFonts w:ascii="Times New Roman" w:hAnsi="Times New Roman" w:cs="Times New Roman"/>
          <w:sz w:val="22"/>
        </w:rPr>
        <w:t>Tents, bunkers, and field encampments</w:t>
      </w:r>
    </w:p>
    <w:p>
      <w:pPr>
        <w:spacing w:after="100" w:line="326" w:lineRule="auto"/>
      </w:pPr>
      <w:r>
        <w:rPr>
          <w:rFonts w:ascii="Times New Roman" w:hAnsi="Times New Roman" w:cs="Times New Roman"/>
          <w:sz w:val="22"/>
        </w:rPr>
        <w:t>So a house on post receives the same protection as a house off post. A barracks room does not.</w:t>
      </w:r>
    </w:p>
    <w:p>
      <w:pPr>
        <w:spacing w:after="100" w:line="326" w:lineRule="auto"/>
      </w:pPr>
      <w:r>
        <w:rPr>
          <w:rFonts w:ascii="Times New Roman" w:hAnsi="Times New Roman" w:cs="Times New Roman"/>
          <w:sz w:val="22"/>
        </w:rPr>
        <w:t xml:space="preserve">One practical note: in the military the instrument is usually an </w:t>
      </w:r>
      <w:r>
        <w:rPr>
          <w:rFonts w:ascii="Times New Roman" w:hAnsi="Times New Roman" w:cs="Times New Roman"/>
          <w:b/>
          <w:sz w:val="22"/>
        </w:rPr>
        <w:t>apprehension authorization</w:t>
      </w:r>
      <w:r>
        <w:rPr>
          <w:rFonts w:ascii="Times New Roman" w:hAnsi="Times New Roman" w:cs="Times New Roman"/>
          <w:sz w:val="22"/>
        </w:rPr>
        <w:t xml:space="preserve"> from a commander, military judge, or military magistrate rather than a civilian judge's warrant. Functionally it is the same idea, someone neutral has to approve the entry.</w:t>
      </w:r>
    </w:p>
    <w:sectPr w:rsidR="00FC693F" w:rsidRPr="0006063C" w:rsidSect="00034616">
      <w:footerReference w:type="default" r:id="rId9"/>
      <w:pgSz w:w="12240" w:h="15840"/>
      <w:pgMar w:top="1008" w:right="1800" w:bottom="1080" w:left="1440" w:header="720" w:footer="576" w:gutter="0"/>
      <w:cols w:space="518"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pPr>
    <w:r>
      <w:rPr>
        <w:rFonts w:ascii="Arial" w:hAnsi="Arial" w:cs="Arial"/>
        <w:color w:val="555555"/>
        <w:sz w:val="16"/>
      </w:rPr>
      <w:t>071-OAXXD012  |  Military Justice / UCMJ Study Guide</w:t>
      <w:tab/>
    </w:r>
    <w:r>
      <w:rPr>
        <w:rFonts w:ascii="Arial" w:hAnsi="Arial" w:cs="Arial"/>
        <w:color w:val="555555"/>
        <w:sz w:val="16"/>
      </w:rPr>
      <w:t xml:space="preserve">Page </w:t>
    </w:r>
    <w:r>
      <w:rPr>
        <w:rFonts w:ascii="Arial" w:hAnsi="Arial" w:cs="Arial"/>
        <w:color w:val="555555"/>
        <w:sz w:val="16"/>
      </w:rPr>
      <w:fldChar w:fldCharType="begin"/>
    </w:r>
    <w:r>
      <w:rPr>
        <w:rFonts w:ascii="Arial" w:hAnsi="Arial" w:cs="Arial"/>
        <w:color w:val="555555"/>
        <w:sz w:val="16"/>
      </w:rPr>
      <w:instrText xml:space="preserve"> PAGE </w:instrText>
    </w:r>
    <w:r>
      <w:rPr>
        <w:rFonts w:ascii="Arial" w:hAnsi="Arial" w:cs="Arial"/>
        <w:color w:val="555555"/>
        <w:sz w:val="16"/>
      </w:rPr>
      <w:fldChar w:fldCharType="separate"/>
    </w:r>
    <w:r>
      <w:rPr>
        <w:rFonts w:ascii="Arial" w:hAnsi="Arial" w:cs="Arial"/>
        <w:color w:val="555555"/>
        <w:sz w:val="16"/>
      </w:rPr>
      <w:t>1</w:t>
    </w:r>
    <w:r>
      <w:rPr>
        <w:rFonts w:ascii="Arial" w:hAnsi="Arial" w:cs="Arial"/>
        <w:color w:val="555555"/>
        <w:sz w:val="16"/>
      </w:rPr>
      <w:fldChar w:fldCharType="end"/>
    </w:r>
    <w:r>
      <w:rPr>
        <w:rFonts w:ascii="Arial" w:hAnsi="Arial" w:cs="Arial"/>
        <w:color w:val="555555"/>
        <w:sz w:val="16"/>
      </w:rPr>
      <w:t xml:space="preserve"> of </w:t>
    </w:r>
    <w:r>
      <w:rPr>
        <w:rFonts w:ascii="Arial" w:hAnsi="Arial" w:cs="Arial"/>
        <w:color w:val="555555"/>
        <w:sz w:val="16"/>
      </w:rPr>
      <w:fldChar w:fldCharType="begin"/>
    </w:r>
    <w:r>
      <w:rPr>
        <w:rFonts w:ascii="Arial" w:hAnsi="Arial" w:cs="Arial"/>
        <w:color w:val="555555"/>
        <w:sz w:val="16"/>
      </w:rPr>
      <w:instrText xml:space="preserve"> NUMPAGES </w:instrText>
    </w:r>
    <w:r>
      <w:rPr>
        <w:rFonts w:ascii="Arial" w:hAnsi="Arial" w:cs="Arial"/>
        <w:color w:val="555555"/>
        <w:sz w:val="16"/>
      </w:rPr>
      <w:fldChar w:fldCharType="separate"/>
    </w:r>
    <w:r>
      <w:rPr>
        <w:rFonts w:ascii="Arial" w:hAnsi="Arial" w:cs="Arial"/>
        <w:color w:val="555555"/>
        <w:sz w:val="16"/>
      </w:rPr>
      <w:t>1</w:t>
    </w:r>
    <w:r>
      <w:rPr>
        <w:rFonts w:ascii="Arial" w:hAnsi="Arial" w:cs="Arial"/>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after="11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