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704112D" w14:textId="77777777" w:rsidR="005D423C" w:rsidRDefault="005D423C" w:rsidP="005D423C">
      <w:r w:rsidRPr="008E2F5F">
        <w:rPr>
          <w:b/>
          <w:bCs/>
          <w:sz w:val="28"/>
          <w:szCs w:val="28"/>
        </w:rPr>
        <w:t>GROUP</w:t>
      </w:r>
      <w:r>
        <w:rPr>
          <w:b/>
          <w:bCs/>
          <w:sz w:val="28"/>
          <w:szCs w:val="28"/>
        </w:rPr>
        <w:t>: 6</w:t>
      </w:r>
      <w:r>
        <w:t xml:space="preserve"> </w:t>
      </w:r>
    </w:p>
    <w:p w14:paraId="42139EC0" w14:textId="77777777" w:rsidR="005D423C" w:rsidRDefault="005D423C" w:rsidP="005D423C">
      <w:r w:rsidRPr="008E2F5F">
        <w:rPr>
          <w:b/>
          <w:bCs/>
          <w:sz w:val="28"/>
          <w:szCs w:val="28"/>
        </w:rPr>
        <w:t>Members Present</w:t>
      </w:r>
      <w:r>
        <w:t>:</w:t>
      </w:r>
    </w:p>
    <w:p w14:paraId="05BDF675"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Sahan Gallage</w:t>
      </w:r>
    </w:p>
    <w:p w14:paraId="63A49DA6"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Ileperuma Gunarathna</w:t>
      </w:r>
    </w:p>
    <w:p w14:paraId="3D40DD85"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Dhanuth Hennedige</w:t>
      </w:r>
    </w:p>
    <w:p w14:paraId="7C7F0696" w14:textId="77777777" w:rsidR="005D423C" w:rsidRPr="001755A4" w:rsidRDefault="005D423C" w:rsidP="005D423C">
      <w:pPr>
        <w:numPr>
          <w:ilvl w:val="0"/>
          <w:numId w:val="7"/>
        </w:numPr>
        <w:spacing w:line="256" w:lineRule="auto"/>
        <w:contextualSpacing/>
        <w:rPr>
          <w:rFonts w:ascii="Calibri" w:eastAsia="Calibri" w:hAnsi="Calibri" w:cs="Times New Roman"/>
        </w:rPr>
      </w:pPr>
      <w:r w:rsidRPr="001755A4">
        <w:rPr>
          <w:rFonts w:ascii="Calibri" w:eastAsia="Calibri" w:hAnsi="Calibri" w:cs="Times New Roman"/>
        </w:rPr>
        <w:t>Sean Li</w:t>
      </w:r>
    </w:p>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0C29C8A5" w14:textId="77777777" w:rsidR="003B580B" w:rsidRDefault="003B580B" w:rsidP="003B580B">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47214503" w:rsidR="00372E90" w:rsidRPr="00235540" w:rsidRDefault="00372E90" w:rsidP="00F47B3D">
            <w:pPr>
              <w:pStyle w:val="Default"/>
            </w:pPr>
            <w:r>
              <w:t xml:space="preserve">Test </w:t>
            </w:r>
            <w:r w:rsidR="00BA0374">
              <w:t>cases code</w:t>
            </w:r>
            <w:r>
              <w:t xml:space="preserve">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lastRenderedPageBreak/>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9CB2964" w:rsidR="00AE2092" w:rsidRDefault="005D423C" w:rsidP="00F1473D">
            <w:pPr>
              <w:rPr>
                <w:b/>
                <w:bCs/>
                <w:sz w:val="28"/>
                <w:szCs w:val="28"/>
              </w:rPr>
            </w:pPr>
            <w:r>
              <w:rPr>
                <w:b/>
                <w:bCs/>
                <w:sz w:val="28"/>
                <w:szCs w:val="28"/>
              </w:rPr>
              <w:t>Sean</w:t>
            </w:r>
          </w:p>
        </w:tc>
        <w:tc>
          <w:tcPr>
            <w:tcW w:w="4078" w:type="dxa"/>
          </w:tcPr>
          <w:p w14:paraId="38B585F6" w14:textId="7D9ED76B" w:rsidR="00AE2092" w:rsidRDefault="005D423C" w:rsidP="00F1473D">
            <w:pPr>
              <w:rPr>
                <w:b/>
                <w:bCs/>
                <w:sz w:val="28"/>
                <w:szCs w:val="28"/>
              </w:rPr>
            </w:pPr>
            <w:r>
              <w:rPr>
                <w:b/>
                <w:bCs/>
                <w:sz w:val="28"/>
                <w:szCs w:val="28"/>
              </w:rPr>
              <w:t>Divide tasks on Jira (with list of integration and user acceptance testing assignments), wrote test code for Limiting Factor functional testing, wrote user acceptance test</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lastRenderedPageBreak/>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2B85AFCF" w:rsidR="00C97B39" w:rsidRDefault="005F6FCE" w:rsidP="00C97B39">
      <w:pPr>
        <w:pStyle w:val="ListParagraph"/>
        <w:numPr>
          <w:ilvl w:val="0"/>
          <w:numId w:val="3"/>
        </w:numPr>
      </w:pPr>
      <w:r w:rsidRPr="005F6FCE">
        <w:t>How did creating the Quality Assurance report help you summarize and communicate the overall testing outcomes? Reflect on how this document supports decision-making at the project closure stage.</w:t>
      </w:r>
      <w:r w:rsidR="00261C3D">
        <w:br/>
      </w:r>
      <w:r w:rsidR="00261C3D">
        <w:br/>
      </w:r>
      <w:r w:rsidR="005D423C">
        <w:t>By creating the report we can see the actual quality of our product versus the expected, and use that to make improvements, changes, communications, and reflections as team members to better collaborate, resulting in a better end product. We used the report to see where we are at at the end of the project, and use it to reflect and tweak our abilities going forward. The quality assurance report acts as an official review of our product as it’s about to be delivered.</w:t>
      </w:r>
      <w:r w:rsidR="00287991">
        <w:t xml:space="preserve"> From now on, we should become better experts when it comes to designing, conducting, and evaluating the quality assurance phase of a project.</w:t>
      </w:r>
      <w:r w:rsidR="00261C3D">
        <w:br/>
      </w:r>
    </w:p>
    <w:p w14:paraId="6639903C" w14:textId="23F94CD8" w:rsidR="00261C3D" w:rsidRDefault="008551B1" w:rsidP="005D423C">
      <w:pPr>
        <w:pStyle w:val="ListParagraph"/>
        <w:numPr>
          <w:ilvl w:val="0"/>
          <w:numId w:val="3"/>
        </w:numPr>
      </w:pPr>
      <w:r w:rsidRPr="008551B1">
        <w:t>How did updating the traceability matrix ensure that all project requirements were adequately tested? Reflect on the role of the matrix in maintaining accountability and completeness in the testing process.</w:t>
      </w:r>
      <w:r w:rsidR="005910BC">
        <w:br/>
      </w:r>
      <w:r w:rsidR="005D423C">
        <w:br/>
        <w:t xml:space="preserve">The traceability matrix clarifies our testing targets and ensures that our tests covers all aspects </w:t>
      </w:r>
      <w:r w:rsidR="005D423C">
        <w:lastRenderedPageBreak/>
        <w:t>of the program, provided that the matrix itself is comprehensive and well made in the context of the project. By writing sufficient tests for each cell in the matrix and passing them, we can ensure that we maintain a high standard of quality when we run it against a battery of critical tests. We can easily see if any criteria are lacking and make tests accordingly in a guided, well-documented manner.</w:t>
      </w:r>
      <w:r w:rsidR="00287991">
        <w:t xml:space="preserve"> As a rule of thumb, the more columns, rows, and checkmarks in a matrix, as long as they are evenly distributed across all areas of the program, the better the testing will be.</w:t>
      </w:r>
      <w:r w:rsidR="005910BC">
        <w:br/>
      </w:r>
    </w:p>
    <w:p w14:paraId="46902058" w14:textId="6C8BAA58" w:rsidR="005910BC" w:rsidRDefault="00DE62FE" w:rsidP="00C97B39">
      <w:pPr>
        <w:pStyle w:val="ListParagraph"/>
        <w:numPr>
          <w:ilvl w:val="0"/>
          <w:numId w:val="3"/>
        </w:numPr>
      </w:pPr>
      <w:r w:rsidRPr="00DE62FE">
        <w:t>How did the process of preparing the project closure report help you evaluate the overall success of the project? Reflect on how documenting achievements, challenges, and unresolved issues can guide future projects.</w:t>
      </w:r>
      <w:r w:rsidR="006E6B84">
        <w:br/>
      </w:r>
      <w:r w:rsidR="006E6B84">
        <w:br/>
      </w:r>
      <w:r w:rsidR="005D423C">
        <w:t>The closure allows us to reflect on the effective contribution of each member, the value of the project to our education, the quality of the course as a whole and areas to think about and work on going forward. By</w:t>
      </w:r>
      <w:r w:rsidR="00287991">
        <w:t xml:space="preserve"> going through</w:t>
      </w:r>
      <w:r w:rsidR="005D423C">
        <w:t xml:space="preserve"> an introductory experience in software testing</w:t>
      </w:r>
      <w:r w:rsidR="00287991">
        <w:t xml:space="preserve">, where we had to document </w:t>
      </w:r>
      <w:r w:rsidR="005D423C">
        <w:t>achievements, challenges, and unresolved issues, we will be better equipped to situate ourselves as professionals in the field</w:t>
      </w:r>
      <w:r w:rsidR="00287991">
        <w:t>, where we may be asked to do the same things</w:t>
      </w:r>
      <w:r w:rsidR="005D423C">
        <w:t>.</w:t>
      </w:r>
      <w:r w:rsidR="00287991">
        <w:t xml:space="preserve"> One day, we may look back on our closure activities and reminisce on how much we have grown and improved as professionals.</w:t>
      </w:r>
      <w:r w:rsidR="005D423C">
        <w:t xml:space="preserve"> Whatever the future may be, we </w:t>
      </w:r>
      <w:r w:rsidR="00C74D6E">
        <w:t>should have a clearer picture of what can go into software testing.</w:t>
      </w:r>
      <w:r w:rsidR="004969AD">
        <w:br/>
      </w:r>
    </w:p>
    <w:p w14:paraId="6AF8381B" w14:textId="07692963" w:rsidR="004969AD" w:rsidRPr="008E2F5F" w:rsidRDefault="0036636F" w:rsidP="00C97B39">
      <w:pPr>
        <w:pStyle w:val="ListParagraph"/>
        <w:numPr>
          <w:ilvl w:val="0"/>
          <w:numId w:val="3"/>
        </w:numPr>
      </w:pPr>
      <w:r w:rsidRPr="0036636F">
        <w:t>During the project closure process, what lessons did you identify that could improve future software testing efforts? Reflect on how evaluating the testing and development cycle contributes to continuous improvement.</w:t>
      </w:r>
      <w:r w:rsidR="00E143FF">
        <w:br/>
      </w:r>
      <w:r w:rsidR="00E143FF">
        <w:br/>
      </w:r>
      <w:r w:rsidR="00287991">
        <w:t>The main lesson is that we should spend more time learning about the existing program and more training lessons on doing tests, because we felt that sometimes we spent too much time on programming and not enough time on actual testing – this may be just a matter of our individual abilities and the way the course is written. At any rate, anything worth its salt, whether a piece of software or something else, must be rigorously tested against the most demanding of tests and be continuously worked on to achieve the highest possibility of success. By now we have fully recognized the importance of software testing and grasp what it takes to achieve truly successful software testing.</w:t>
      </w:r>
      <w:r w:rsidR="00E143FF">
        <w:br/>
      </w:r>
      <w:r w:rsidR="00E143FF">
        <w:br/>
      </w:r>
      <w:r w:rsidR="00E143FF">
        <w:br/>
      </w:r>
      <w:r w:rsidR="00E143FF">
        <w:br/>
      </w:r>
      <w:r w:rsidR="00E143FF">
        <w:br/>
      </w:r>
      <w:r w:rsidR="00E143FF">
        <w:br/>
      </w:r>
      <w:r w:rsidR="00E143FF">
        <w:br/>
      </w:r>
      <w:r w:rsidR="00E143FF">
        <w:br/>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579A1"/>
    <w:multiLevelType w:val="hybridMultilevel"/>
    <w:tmpl w:val="BFB895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3"/>
  </w:num>
  <w:num w:numId="3" w16cid:durableId="1652056721">
    <w:abstractNumId w:val="1"/>
  </w:num>
  <w:num w:numId="4" w16cid:durableId="149296333">
    <w:abstractNumId w:val="4"/>
  </w:num>
  <w:num w:numId="5" w16cid:durableId="140387068">
    <w:abstractNumId w:val="6"/>
  </w:num>
  <w:num w:numId="6" w16cid:durableId="1335768958">
    <w:abstractNumId w:val="2"/>
  </w:num>
  <w:num w:numId="7" w16cid:durableId="48524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4C7A"/>
    <w:rsid w:val="000D5C60"/>
    <w:rsid w:val="000D7869"/>
    <w:rsid w:val="0010157D"/>
    <w:rsid w:val="001136FC"/>
    <w:rsid w:val="00117AF7"/>
    <w:rsid w:val="0012367D"/>
    <w:rsid w:val="0013685A"/>
    <w:rsid w:val="00142831"/>
    <w:rsid w:val="00160851"/>
    <w:rsid w:val="00180D95"/>
    <w:rsid w:val="001B0DA7"/>
    <w:rsid w:val="001D76CF"/>
    <w:rsid w:val="00250D4F"/>
    <w:rsid w:val="00261C3D"/>
    <w:rsid w:val="00287991"/>
    <w:rsid w:val="00290C84"/>
    <w:rsid w:val="002A2613"/>
    <w:rsid w:val="002B37D1"/>
    <w:rsid w:val="002C7A36"/>
    <w:rsid w:val="00334461"/>
    <w:rsid w:val="00341195"/>
    <w:rsid w:val="0036636F"/>
    <w:rsid w:val="00366C89"/>
    <w:rsid w:val="00372E90"/>
    <w:rsid w:val="003B580B"/>
    <w:rsid w:val="003B6774"/>
    <w:rsid w:val="003C7068"/>
    <w:rsid w:val="003D4D81"/>
    <w:rsid w:val="003E5CFC"/>
    <w:rsid w:val="004041E7"/>
    <w:rsid w:val="0042083A"/>
    <w:rsid w:val="00442E89"/>
    <w:rsid w:val="004969AD"/>
    <w:rsid w:val="004D3E9A"/>
    <w:rsid w:val="00501C24"/>
    <w:rsid w:val="005025E1"/>
    <w:rsid w:val="005359AB"/>
    <w:rsid w:val="00545F52"/>
    <w:rsid w:val="005910BC"/>
    <w:rsid w:val="005D423C"/>
    <w:rsid w:val="005E5BF2"/>
    <w:rsid w:val="005F6FCE"/>
    <w:rsid w:val="00650A2B"/>
    <w:rsid w:val="006B6366"/>
    <w:rsid w:val="006C53EB"/>
    <w:rsid w:val="006E6B84"/>
    <w:rsid w:val="00711DA9"/>
    <w:rsid w:val="00731864"/>
    <w:rsid w:val="007502BA"/>
    <w:rsid w:val="0078216A"/>
    <w:rsid w:val="00784E76"/>
    <w:rsid w:val="007D6569"/>
    <w:rsid w:val="0080701A"/>
    <w:rsid w:val="008551B1"/>
    <w:rsid w:val="008C0F8F"/>
    <w:rsid w:val="008D376D"/>
    <w:rsid w:val="008E2F5F"/>
    <w:rsid w:val="009267A1"/>
    <w:rsid w:val="00946824"/>
    <w:rsid w:val="00981A72"/>
    <w:rsid w:val="00A33550"/>
    <w:rsid w:val="00A525AF"/>
    <w:rsid w:val="00AD63B2"/>
    <w:rsid w:val="00AE2092"/>
    <w:rsid w:val="00B704DC"/>
    <w:rsid w:val="00BA0374"/>
    <w:rsid w:val="00BD463D"/>
    <w:rsid w:val="00BF648B"/>
    <w:rsid w:val="00C071A4"/>
    <w:rsid w:val="00C70758"/>
    <w:rsid w:val="00C74D6E"/>
    <w:rsid w:val="00C97B39"/>
    <w:rsid w:val="00CC0C6B"/>
    <w:rsid w:val="00CC1668"/>
    <w:rsid w:val="00CF7D27"/>
    <w:rsid w:val="00D36E22"/>
    <w:rsid w:val="00D6157A"/>
    <w:rsid w:val="00D92C51"/>
    <w:rsid w:val="00DA01A2"/>
    <w:rsid w:val="00DB4DBA"/>
    <w:rsid w:val="00DD11BF"/>
    <w:rsid w:val="00DE62FE"/>
    <w:rsid w:val="00E013FD"/>
    <w:rsid w:val="00E143FF"/>
    <w:rsid w:val="00E81767"/>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80</cp:revision>
  <dcterms:created xsi:type="dcterms:W3CDTF">2023-04-02T19:23:00Z</dcterms:created>
  <dcterms:modified xsi:type="dcterms:W3CDTF">2025-08-05T22:33:00Z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