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684B" w14:textId="2DC140FB" w:rsidR="00661FD3" w:rsidRDefault="00095D1D">
      <w:r>
        <w:t>How system works</w:t>
      </w:r>
    </w:p>
    <w:p w14:paraId="4E4569AF" w14:textId="5238A8BE" w:rsidR="00095D1D" w:rsidRDefault="00095D1D">
      <w:r>
        <w:rPr>
          <w:noProof/>
        </w:rPr>
        <w:drawing>
          <wp:inline distT="0" distB="0" distL="0" distR="0" wp14:anchorId="62AE7024" wp14:editId="33CA54EB">
            <wp:extent cx="5731510" cy="3714750"/>
            <wp:effectExtent l="0" t="0" r="2540" b="0"/>
            <wp:docPr id="41716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6607" name="Picture 4171666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FB0" w14:textId="77777777" w:rsidR="00095D1D" w:rsidRDefault="00095D1D">
      <w:r>
        <w:t xml:space="preserve">In our application we use Angular for developing front end. </w:t>
      </w:r>
    </w:p>
    <w:p w14:paraId="00A3F771" w14:textId="19392044" w:rsidR="00095D1D" w:rsidRDefault="00095D1D">
      <w:r>
        <w:t xml:space="preserve">Only view part is handled in </w:t>
      </w:r>
      <w:proofErr w:type="gramStart"/>
      <w:r>
        <w:t>Angular</w:t>
      </w:r>
      <w:proofErr w:type="gramEnd"/>
    </w:p>
    <w:p w14:paraId="327D2CF8" w14:textId="240A8667" w:rsidR="00095D1D" w:rsidRDefault="00095D1D">
      <w:r>
        <w:t xml:space="preserve">All the business logic will be handles in sprint boot application which is </w:t>
      </w:r>
      <w:r w:rsidR="00E80BDE">
        <w:t>Api</w:t>
      </w:r>
      <w:r>
        <w:t>.</w:t>
      </w:r>
    </w:p>
    <w:p w14:paraId="1FE8F05E" w14:textId="42E48F74" w:rsidR="00095D1D" w:rsidRDefault="00095D1D">
      <w:r>
        <w:t xml:space="preserve">We use event drive architecture to trigger python service. For that we use message queues. </w:t>
      </w:r>
    </w:p>
    <w:p w14:paraId="644AD820" w14:textId="2E28E7CF" w:rsidR="00095D1D" w:rsidRDefault="00095D1D">
      <w:r>
        <w:t>API will publish message what to do and required details to the message queue</w:t>
      </w:r>
      <w:r w:rsidR="00E80BDE">
        <w:t xml:space="preserve"> from there python microservices will take the message and perform the task given via message.</w:t>
      </w:r>
    </w:p>
    <w:p w14:paraId="2B1A9BC5" w14:textId="77777777" w:rsidR="004370C7" w:rsidRDefault="004370C7" w:rsidP="004370C7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Event-Driven Architecture. (2006).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 xml:space="preserve">Springer </w:t>
      </w:r>
      <w:proofErr w:type="spellStart"/>
      <w:r>
        <w:rPr>
          <w:rFonts w:ascii="Calibri" w:hAnsi="Calibri" w:cs="Calibri"/>
          <w:i/>
          <w:iCs/>
          <w:color w:val="000000"/>
          <w:sz w:val="27"/>
          <w:szCs w:val="27"/>
        </w:rPr>
        <w:t>EBooks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, 317–355. https://doi.org/10.1007/1-4020-3705-8_8</w:t>
      </w:r>
    </w:p>
    <w:p w14:paraId="36D6A4BE" w14:textId="77777777" w:rsidR="004370C7" w:rsidRDefault="004370C7" w:rsidP="004370C7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6573EDDA" w14:textId="5958265E" w:rsidR="004370C7" w:rsidRDefault="004370C7">
      <w:r>
        <w:rPr>
          <w:rFonts w:ascii="Roboto" w:hAnsi="Roboto"/>
          <w:color w:val="2C3E50"/>
          <w:sz w:val="23"/>
          <w:szCs w:val="23"/>
          <w:shd w:val="clear" w:color="auto" w:fill="FFFFFF"/>
        </w:rPr>
        <w:t>(“Event-Driven Architecture,” 2006)</w:t>
      </w:r>
    </w:p>
    <w:p w14:paraId="440632BB" w14:textId="7AE0F30D" w:rsidR="00E80BDE" w:rsidRDefault="00E80BDE">
      <w:pPr>
        <w:rPr>
          <w:noProof/>
        </w:rPr>
      </w:pPr>
      <w:r>
        <w:t xml:space="preserve">We use azure storage account – blob storage to store our dataset and binary files and records of it </w:t>
      </w:r>
      <w:proofErr w:type="spellStart"/>
      <w:r>
        <w:t>wil</w:t>
      </w:r>
      <w:proofErr w:type="spellEnd"/>
      <w:r>
        <w:t xml:space="preserve"> be maintained in </w:t>
      </w:r>
      <w:proofErr w:type="spellStart"/>
      <w:r>
        <w:t>mysql</w:t>
      </w:r>
      <w:proofErr w:type="spellEnd"/>
      <w:r>
        <w:t xml:space="preserve"> relational table</w:t>
      </w:r>
      <w:r>
        <w:rPr>
          <w:noProof/>
        </w:rPr>
        <w:t>.</w:t>
      </w:r>
    </w:p>
    <w:p w14:paraId="314B7671" w14:textId="77777777" w:rsidR="00E80BDE" w:rsidRDefault="00E80BDE">
      <w:pPr>
        <w:rPr>
          <w:noProof/>
        </w:rPr>
      </w:pPr>
    </w:p>
    <w:p w14:paraId="55C92218" w14:textId="77777777" w:rsidR="00E80BDE" w:rsidRDefault="00E80BDE">
      <w:pPr>
        <w:rPr>
          <w:noProof/>
        </w:rPr>
      </w:pPr>
    </w:p>
    <w:p w14:paraId="00B8A00F" w14:textId="59EC6857" w:rsidR="00E80BDE" w:rsidRDefault="00E80BDE">
      <w:r>
        <w:rPr>
          <w:noProof/>
        </w:rPr>
        <w:lastRenderedPageBreak/>
        <w:drawing>
          <wp:inline distT="0" distB="0" distL="0" distR="0" wp14:anchorId="5D6BB33C" wp14:editId="3FCDA325">
            <wp:extent cx="5731510" cy="2391410"/>
            <wp:effectExtent l="0" t="0" r="2540" b="8890"/>
            <wp:docPr id="1060595755" name="Picture 3" descr="A logo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5755" name="Picture 3" descr="A logo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FB3C" w14:textId="5F75095C" w:rsidR="00E80BDE" w:rsidRDefault="00E80BDE">
      <w:r>
        <w:t xml:space="preserve">For now we use 2 clouds </w:t>
      </w:r>
      <w:proofErr w:type="gramStart"/>
      <w:r>
        <w:t>provide</w:t>
      </w:r>
      <w:r w:rsidR="006F6B83">
        <w:t>rs(</w:t>
      </w:r>
      <w:proofErr w:type="gramEnd"/>
      <w:r w:rsidR="006F6B83">
        <w:t>AWS &amp; Azure)</w:t>
      </w:r>
      <w:r>
        <w:t xml:space="preserve"> to prevent vendor lock in.</w:t>
      </w:r>
    </w:p>
    <w:p w14:paraId="07663FC5" w14:textId="6F83D727" w:rsidR="006F6B83" w:rsidRDefault="006F6B83">
      <w:r>
        <w:rPr>
          <w:rFonts w:ascii="Roboto" w:hAnsi="Roboto"/>
          <w:color w:val="2C3E50"/>
          <w:sz w:val="23"/>
          <w:szCs w:val="23"/>
          <w:shd w:val="clear" w:color="auto" w:fill="FFFFFF"/>
        </w:rPr>
        <w:t>(Pellegrini et al., 2017)</w:t>
      </w:r>
    </w:p>
    <w:p w14:paraId="2063415C" w14:textId="77777777" w:rsidR="006F6B83" w:rsidRDefault="006F6B83" w:rsidP="006F6B83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Pellegrini, R., Rottmann, P., &amp; Strieder, G. (2017). Preventing vendor lock-ins via an interoperable multi-cloud deployment approach.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2017 12th International Conference for Internet Technology and Secured Transactions (ICITST)</w:t>
      </w:r>
      <w:r>
        <w:rPr>
          <w:rFonts w:ascii="Calibri" w:hAnsi="Calibri" w:cs="Calibri"/>
          <w:color w:val="000000"/>
          <w:sz w:val="27"/>
          <w:szCs w:val="27"/>
        </w:rPr>
        <w:t>. https://doi.org/10.23919/icitst.2017.8356428</w:t>
      </w:r>
    </w:p>
    <w:p w14:paraId="1ACF3254" w14:textId="77777777" w:rsidR="006F6B83" w:rsidRDefault="006F6B83" w:rsidP="006F6B83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7C05E6E9" w14:textId="77777777" w:rsidR="006F6B83" w:rsidRDefault="006F6B83"/>
    <w:p w14:paraId="3B5F5843" w14:textId="691793AA" w:rsidR="00E80BDE" w:rsidRDefault="00E80BDE">
      <w:r>
        <w:t xml:space="preserve">Primary server we use to deploy our services in EC2 where we use tomcat server software to deploy angular and </w:t>
      </w:r>
      <w:r w:rsidR="009B4231">
        <w:t>spring boot</w:t>
      </w:r>
      <w:r>
        <w:t xml:space="preserve"> apps so that it can be </w:t>
      </w:r>
      <w:r w:rsidR="009B4231">
        <w:t xml:space="preserve">available on the </w:t>
      </w:r>
      <w:proofErr w:type="gramStart"/>
      <w:r w:rsidR="009B4231">
        <w:t>Internet</w:t>
      </w:r>
      <w:proofErr w:type="gramEnd"/>
      <w:r w:rsidR="009B4231">
        <w:t xml:space="preserve"> </w:t>
      </w:r>
    </w:p>
    <w:p w14:paraId="427399D9" w14:textId="6FE251CA" w:rsidR="009B4231" w:rsidRDefault="009B4231">
      <w:r>
        <w:t xml:space="preserve">Python applications will be running as daemon </w:t>
      </w:r>
      <w:proofErr w:type="gramStart"/>
      <w:r>
        <w:t>service</w:t>
      </w:r>
      <w:proofErr w:type="gramEnd"/>
      <w:r>
        <w:t xml:space="preserve"> </w:t>
      </w:r>
    </w:p>
    <w:p w14:paraId="797FAB9C" w14:textId="77777777" w:rsidR="009B4231" w:rsidRDefault="009B4231" w:rsidP="009B4231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i/>
          <w:iCs/>
          <w:color w:val="000000"/>
          <w:sz w:val="27"/>
          <w:szCs w:val="27"/>
        </w:rPr>
        <w:t>Methods and process of service migration from monolithic architecture to microservices</w:t>
      </w:r>
      <w:r>
        <w:rPr>
          <w:rFonts w:ascii="Calibri" w:hAnsi="Calibri" w:cs="Calibri"/>
          <w:color w:val="000000"/>
          <w:sz w:val="27"/>
          <w:szCs w:val="27"/>
        </w:rPr>
        <w:t xml:space="preserve">. (n.d.). Ieeexplore.ieee.org. Retrieved October 22, 2023, from </w:t>
      </w:r>
      <w:proofErr w:type="gramStart"/>
      <w:r>
        <w:rPr>
          <w:rFonts w:ascii="Calibri" w:hAnsi="Calibri" w:cs="Calibri"/>
          <w:color w:val="000000"/>
          <w:sz w:val="27"/>
          <w:szCs w:val="27"/>
        </w:rPr>
        <w:t>https://ieeexplore.ieee.org/document/9767055</w:t>
      </w:r>
      <w:proofErr w:type="gramEnd"/>
    </w:p>
    <w:p w14:paraId="31E78A4A" w14:textId="77777777" w:rsidR="009B4231" w:rsidRDefault="009B4231" w:rsidP="009B4231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40E8F513" w14:textId="77C56066" w:rsidR="009B4231" w:rsidRDefault="009B4231">
      <w:pPr>
        <w:rPr>
          <w:rFonts w:ascii="Roboto" w:hAnsi="Roboto"/>
          <w:color w:val="2C3E50"/>
          <w:sz w:val="23"/>
          <w:szCs w:val="23"/>
          <w:shd w:val="clear" w:color="auto" w:fill="FFFFFF"/>
        </w:rPr>
      </w:pPr>
      <w:r>
        <w:rPr>
          <w:rFonts w:ascii="Roboto" w:hAnsi="Roboto"/>
          <w:color w:val="2C3E50"/>
          <w:sz w:val="23"/>
          <w:szCs w:val="23"/>
          <w:shd w:val="clear" w:color="auto" w:fill="FFFFFF"/>
        </w:rPr>
        <w:t> (</w:t>
      </w:r>
      <w:r>
        <w:rPr>
          <w:rFonts w:ascii="Roboto" w:hAnsi="Roboto"/>
          <w:i/>
          <w:iCs/>
          <w:color w:val="2C3E50"/>
          <w:sz w:val="23"/>
          <w:szCs w:val="23"/>
          <w:shd w:val="clear" w:color="auto" w:fill="FFFFFF"/>
        </w:rPr>
        <w:t>Methods and Process of Service Migration from Monolithic Architecture to Microservices</w:t>
      </w:r>
      <w:r>
        <w:rPr>
          <w:rFonts w:ascii="Roboto" w:hAnsi="Roboto"/>
          <w:color w:val="2C3E50"/>
          <w:sz w:val="23"/>
          <w:szCs w:val="23"/>
          <w:shd w:val="clear" w:color="auto" w:fill="FFFFFF"/>
        </w:rPr>
        <w:t>, n.d.)</w:t>
      </w:r>
    </w:p>
    <w:p w14:paraId="09F7501F" w14:textId="77777777" w:rsidR="009B4231" w:rsidRDefault="009B4231">
      <w:pPr>
        <w:rPr>
          <w:rFonts w:ascii="Roboto" w:hAnsi="Roboto"/>
          <w:color w:val="2C3E50"/>
          <w:sz w:val="23"/>
          <w:szCs w:val="23"/>
          <w:shd w:val="clear" w:color="auto" w:fill="FFFFFF"/>
        </w:rPr>
      </w:pPr>
    </w:p>
    <w:p w14:paraId="1ED7B469" w14:textId="77777777" w:rsidR="009B4231" w:rsidRDefault="009B4231">
      <w:pPr>
        <w:rPr>
          <w:rFonts w:ascii="Roboto" w:hAnsi="Roboto"/>
          <w:color w:val="2C3E50"/>
          <w:sz w:val="23"/>
          <w:szCs w:val="23"/>
          <w:shd w:val="clear" w:color="auto" w:fill="FFFFFF"/>
        </w:rPr>
      </w:pPr>
    </w:p>
    <w:p w14:paraId="49C9EAF6" w14:textId="77777777" w:rsidR="006A4548" w:rsidRDefault="006A4548" w:rsidP="006A4548">
      <w:pPr>
        <w:pStyle w:val="NormalWeb"/>
        <w:spacing w:before="0" w:beforeAutospacing="0" w:after="0" w:afterAutospacing="0" w:line="480" w:lineRule="atLeast"/>
        <w:ind w:left="720" w:hanging="720"/>
        <w:rPr>
          <w:rFonts w:ascii="Roboto" w:hAnsi="Roboto"/>
          <w:color w:val="2C3E50"/>
          <w:sz w:val="23"/>
          <w:szCs w:val="23"/>
          <w:shd w:val="clear" w:color="auto" w:fill="FFFFFF"/>
        </w:rPr>
      </w:pPr>
      <w:r>
        <w:rPr>
          <w:rFonts w:ascii="Roboto" w:hAnsi="Roboto"/>
          <w:color w:val="2C3E50"/>
          <w:sz w:val="23"/>
          <w:szCs w:val="23"/>
          <w:shd w:val="clear" w:color="auto" w:fill="FFFFFF"/>
        </w:rPr>
        <w:t xml:space="preserve">For DB we use RDS service from AWS </w:t>
      </w:r>
    </w:p>
    <w:p w14:paraId="34276117" w14:textId="158C7DFC" w:rsidR="006A4548" w:rsidRDefault="006A4548" w:rsidP="006A4548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i/>
          <w:iCs/>
          <w:color w:val="000000"/>
          <w:sz w:val="27"/>
          <w:szCs w:val="27"/>
        </w:rPr>
        <w:lastRenderedPageBreak/>
        <w:t>Amazon RDS Free Tier | Cloud Relational Database | Amazon Web Services</w:t>
      </w:r>
      <w:r>
        <w:rPr>
          <w:rFonts w:ascii="Calibri" w:hAnsi="Calibri" w:cs="Calibri"/>
          <w:color w:val="000000"/>
          <w:sz w:val="27"/>
          <w:szCs w:val="27"/>
        </w:rPr>
        <w:t>. (n.d.). Amazon Web Services, Inc. https://aws.amazon.com/rds/free/</w:t>
      </w:r>
    </w:p>
    <w:p w14:paraId="65C48D63" w14:textId="77777777" w:rsidR="006A4548" w:rsidRDefault="006A4548" w:rsidP="006A4548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70DFC4AC" w14:textId="6346287F" w:rsidR="009B4231" w:rsidRDefault="006A4548">
      <w:r>
        <w:rPr>
          <w:rFonts w:ascii="Roboto" w:hAnsi="Roboto"/>
          <w:color w:val="2C3E50"/>
          <w:sz w:val="23"/>
          <w:szCs w:val="23"/>
          <w:shd w:val="clear" w:color="auto" w:fill="FFFFFF"/>
        </w:rPr>
        <w:t>(</w:t>
      </w:r>
      <w:r>
        <w:rPr>
          <w:rFonts w:ascii="Roboto" w:hAnsi="Roboto"/>
          <w:i/>
          <w:iCs/>
          <w:color w:val="2C3E50"/>
          <w:sz w:val="23"/>
          <w:szCs w:val="23"/>
          <w:shd w:val="clear" w:color="auto" w:fill="FFFFFF"/>
        </w:rPr>
        <w:t>Amazon RDS Free Tier | Cloud Relational Database | Amazon Web Services</w:t>
      </w:r>
      <w:r>
        <w:rPr>
          <w:rFonts w:ascii="Roboto" w:hAnsi="Roboto"/>
          <w:color w:val="2C3E50"/>
          <w:sz w:val="23"/>
          <w:szCs w:val="23"/>
          <w:shd w:val="clear" w:color="auto" w:fill="FFFFFF"/>
        </w:rPr>
        <w:t>, n.d.)</w:t>
      </w:r>
    </w:p>
    <w:p w14:paraId="5483A3B1" w14:textId="4D9EE0EC" w:rsidR="00095D1D" w:rsidRDefault="00095D1D">
      <w:r>
        <w:t xml:space="preserve">In this application we start with data importing </w:t>
      </w:r>
    </w:p>
    <w:sectPr w:rsidR="00095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FE"/>
    <w:rsid w:val="00095D1D"/>
    <w:rsid w:val="004370C7"/>
    <w:rsid w:val="00661FD3"/>
    <w:rsid w:val="006A4548"/>
    <w:rsid w:val="006F6B83"/>
    <w:rsid w:val="009B4231"/>
    <w:rsid w:val="00DA45FE"/>
    <w:rsid w:val="00E8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E5B5C"/>
  <w15:chartTrackingRefBased/>
  <w15:docId w15:val="{DC27985C-4856-4B01-921D-E4713D1A4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6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0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D22124491 Naveen Maheswaran</dc:creator>
  <cp:keywords/>
  <dc:description/>
  <cp:lastModifiedBy>D22124491 Naveen Maheswaran</cp:lastModifiedBy>
  <cp:revision>5</cp:revision>
  <dcterms:created xsi:type="dcterms:W3CDTF">2023-10-22T14:43:00Z</dcterms:created>
  <dcterms:modified xsi:type="dcterms:W3CDTF">2023-10-22T16:46:00Z</dcterms:modified>
</cp:coreProperties>
</file>