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AAS</w:t>
      </w:r>
      <w:r>
        <w:t xml:space="preserve"> </w:t>
      </w:r>
      <w:r>
        <w:t xml:space="preserve">Time</w:t>
      </w:r>
      <w:r>
        <w:t xml:space="preserve"> </w:t>
      </w:r>
      <w:r>
        <w:t xml:space="preserve">Off</w:t>
      </w:r>
      <w:r>
        <w:t xml:space="preserve"> </w:t>
      </w:r>
      <w:r>
        <w:t xml:space="preserve">Planner:</w:t>
      </w:r>
      <w:r>
        <w:t xml:space="preserve"> </w:t>
      </w:r>
      <w:r>
        <w:t xml:space="preserve">Technical</w:t>
      </w:r>
      <w:r>
        <w:t xml:space="preserve"> </w:t>
      </w:r>
      <w:r>
        <w:t xml:space="preserve">Requirements</w:t>
      </w:r>
      <w:r>
        <w:t xml:space="preserve"> </w:t>
      </w:r>
      <w:r>
        <w:t xml:space="preserve">Document</w:t>
      </w:r>
    </w:p>
    <w:p>
      <w:pPr>
        <w:pStyle w:val="Subtitle"/>
      </w:pPr>
      <w:r>
        <w:t xml:space="preserve">Version</w:t>
      </w:r>
      <w:r>
        <w:t xml:space="preserve"> </w:t>
      </w:r>
      <w:r>
        <w:t xml:space="preserve">1.0</w:t>
      </w:r>
      <w:r>
        <w:t xml:space="preserve"> </w:t>
      </w:r>
      <w:r>
        <w:t xml:space="preserve">draft</w:t>
      </w:r>
      <w:r>
        <w:t xml:space="preserve"> </w:t>
      </w:r>
      <w:r>
        <w:t xml:space="preserve">for</w:t>
      </w:r>
      <w:r>
        <w:t xml:space="preserve"> </w:t>
      </w:r>
      <w:r>
        <w:t xml:space="preserve">review</w:t>
      </w:r>
    </w:p>
    <w:p>
      <w:pPr>
        <w:pStyle w:val="Date"/>
      </w:pPr>
      <w:r>
        <w:t xml:space="preserve">23</w:t>
      </w:r>
      <w:r>
        <w:t xml:space="preserve"> </w:t>
      </w:r>
      <w:r>
        <w:t xml:space="preserve">October</w:t>
      </w:r>
      <w:r>
        <w:t xml:space="preserve"> </w:t>
      </w:r>
      <w:r>
        <w:t xml:space="preserve">2026</w:t>
      </w:r>
    </w:p>
    <w:bookmarkStart w:id="20" w:name="document-control"/>
    <w:p>
      <w:pPr>
        <w:pStyle w:val="Heading1"/>
      </w:pPr>
      <w:r>
        <w:t xml:space="preserve">1. Document control</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584"/>
        <w:gridCol w:w="6336"/>
      </w:tblGrid>
      <w:tr>
        <w:trPr>
          <w:tblHeader w:val="true"/>
        </w:trPr>
        <w:tc>
          <w:tcPr>
            <w:shd w:val="clear" w:fill="E8EEF6"/>
          </w:tcPr>
          <w:p>
            <w:pPr>
              <w:pStyle w:val="Compact"/>
              <w:jc w:val="left"/>
            </w:pPr>
            <w:r>
              <w:rPr>
                <w:b/>
              </w:rPr>
              <w:t xml:space="preserve">Item</w:t>
            </w:r>
          </w:p>
        </w:tc>
        <w:tc>
          <w:tcPr>
            <w:shd w:val="clear" w:fill="E8EEF6"/>
          </w:tcPr>
          <w:p>
            <w:pPr>
              <w:pStyle w:val="Compact"/>
              <w:jc w:val="left"/>
            </w:pPr>
            <w:r>
              <w:rPr>
                <w:b/>
              </w:rPr>
              <w:t xml:space="preserve">Detail</w:t>
            </w:r>
          </w:p>
        </w:tc>
      </w:tr>
      <w:tr>
        <w:tc>
          <w:tcPr/>
          <w:p>
            <w:pPr>
              <w:pStyle w:val="Compact"/>
              <w:jc w:val="left"/>
            </w:pPr>
            <w:r>
              <w:t xml:space="preserve">Document</w:t>
            </w:r>
          </w:p>
        </w:tc>
        <w:tc>
          <w:tcPr/>
          <w:p>
            <w:pPr>
              <w:pStyle w:val="Compact"/>
              <w:jc w:val="left"/>
            </w:pPr>
            <w:r>
              <w:t xml:space="preserve">Technical Requirements Document (TRD)</w:t>
            </w:r>
          </w:p>
        </w:tc>
      </w:tr>
      <w:tr>
        <w:tc>
          <w:tcPr/>
          <w:p>
            <w:pPr>
              <w:pStyle w:val="Compact"/>
              <w:jc w:val="left"/>
            </w:pPr>
            <w:r>
              <w:t xml:space="preserve">Version</w:t>
            </w:r>
          </w:p>
        </w:tc>
        <w:tc>
          <w:tcPr/>
          <w:p>
            <w:pPr>
              <w:pStyle w:val="Compact"/>
              <w:jc w:val="left"/>
            </w:pPr>
            <w:r>
              <w:t xml:space="preserve">1.0, draft for review</w:t>
            </w:r>
          </w:p>
        </w:tc>
      </w:tr>
      <w:tr>
        <w:tc>
          <w:tcPr/>
          <w:p>
            <w:pPr>
              <w:pStyle w:val="Compact"/>
              <w:jc w:val="left"/>
            </w:pPr>
            <w:r>
              <w:t xml:space="preserve">Date</w:t>
            </w:r>
          </w:p>
        </w:tc>
        <w:tc>
          <w:tcPr/>
          <w:p>
            <w:pPr>
              <w:pStyle w:val="Compact"/>
              <w:jc w:val="left"/>
            </w:pPr>
            <w:r>
              <w:t xml:space="preserve">23 October 2026</w:t>
            </w:r>
          </w:p>
        </w:tc>
      </w:tr>
      <w:tr>
        <w:tc>
          <w:tcPr/>
          <w:p>
            <w:pPr>
              <w:pStyle w:val="Compact"/>
              <w:jc w:val="left"/>
            </w:pPr>
            <w:r>
              <w:t xml:space="preserve">Companion</w:t>
            </w:r>
          </w:p>
        </w:tc>
        <w:tc>
          <w:tcPr/>
          <w:p>
            <w:pPr>
              <w:pStyle w:val="Compact"/>
              <w:jc w:val="left"/>
            </w:pPr>
            <w:r>
              <w:t xml:space="preserve">Product Requirements Document (PRD) v1.0; requirement IDs FR- and NFR- refer to it</w:t>
            </w:r>
          </w:p>
        </w:tc>
      </w:tr>
      <w:tr>
        <w:tc>
          <w:tcPr/>
          <w:p>
            <w:pPr>
              <w:pStyle w:val="Compact"/>
              <w:jc w:val="left"/>
            </w:pPr>
            <w:r>
              <w:t xml:space="preserve">Code</w:t>
            </w:r>
          </w:p>
        </w:tc>
        <w:tc>
          <w:tcPr/>
          <w:p>
            <w:pPr>
              <w:pStyle w:val="Compact"/>
              <w:jc w:val="left"/>
            </w:pPr>
            <w:r>
              <w:rPr>
                <w:rStyle w:val="VerbatimChar"/>
              </w:rPr>
              <w:t xml:space="preserve">github.com/SeanPodnar/AAS_Time_Off_Planner_V1</w:t>
            </w:r>
            <w:r>
              <w:t xml:space="preserve">, folder</w:t>
            </w:r>
            <w:r>
              <w:t xml:space="preserve"> </w:t>
            </w:r>
            <w:r>
              <w:rPr>
                <w:rStyle w:val="VerbatimChar"/>
              </w:rPr>
              <w:t xml:space="preserve">app/</w:t>
            </w:r>
          </w:p>
        </w:tc>
      </w:tr>
      <w:tr>
        <w:tc>
          <w:tcPr/>
          <w:p>
            <w:pPr>
              <w:pStyle w:val="Compact"/>
              <w:jc w:val="left"/>
            </w:pPr>
            <w:r>
              <w:t xml:space="preserve">Built so far</w:t>
            </w:r>
          </w:p>
        </w:tc>
        <w:tc>
          <w:tcPr/>
          <w:p>
            <w:pPr>
              <w:pStyle w:val="Compact"/>
              <w:jc w:val="left"/>
            </w:pPr>
            <w:r>
              <w:t xml:space="preserve">Migrations 001 to 003: companies, people, audit log, company data separation, email sign-in, sessions, roles, platform owner sign-in, two-step sign-in. 60 automated tests.</w:t>
            </w:r>
          </w:p>
        </w:tc>
      </w:tr>
    </w:tbl>
    <w:bookmarkEnd w:id="20"/>
    <w:bookmarkStart w:id="21" w:name="architecture"/>
    <w:p>
      <w:pPr>
        <w:pStyle w:val="Heading1"/>
      </w:pPr>
      <w:r>
        <w:t xml:space="preserve">2. Architecture</w:t>
      </w:r>
    </w:p>
    <w:p>
      <w:pPr>
        <w:pStyle w:val="SourceCode"/>
      </w:pPr>
      <w:r>
        <w:rPr>
          <w:rStyle w:val="VerbatimChar"/>
        </w:rPr>
        <w:t xml:space="preserve">Browser (employee, manager, HR admin, platform owner)</w:t>
      </w:r>
      <w:r>
        <w:br/>
      </w:r>
      <w:r>
        <w:rPr>
          <w:rStyle w:val="VerbatimChar"/>
        </w:rPr>
        <w:t xml:space="preserve">  | HTTPS: name.&lt;platform domain&gt; or a custom domain</w:t>
      </w:r>
      <w:r>
        <w:br/>
      </w:r>
      <w:r>
        <w:rPr>
          <w:rStyle w:val="VerbatimChar"/>
        </w:rPr>
        <w:t xml:space="preserve">  v</w:t>
      </w:r>
      <w:r>
        <w:br/>
      </w:r>
      <w:r>
        <w:rPr>
          <w:rStyle w:val="VerbatimChar"/>
        </w:rPr>
        <w:t xml:space="preserve">Load balancer: TLS, sets X-Forwarded-Host/For</w:t>
      </w:r>
      <w:r>
        <w:br/>
      </w:r>
      <w:r>
        <w:rPr>
          <w:rStyle w:val="VerbatimChar"/>
        </w:rPr>
        <w:t xml:space="preserve">  |                                  [AWS Canada Central]</w:t>
      </w:r>
      <w:r>
        <w:br/>
      </w:r>
      <w:r>
        <w:rPr>
          <w:rStyle w:val="VerbatimChar"/>
        </w:rPr>
        <w:t xml:space="preserve">  v</w:t>
      </w:r>
      <w:r>
        <w:br/>
      </w:r>
      <w:r>
        <w:rPr>
          <w:rStyle w:val="VerbatimChar"/>
        </w:rPr>
        <w:t xml:space="preserve">Next.js app (Node 22, TypeScript)</w:t>
      </w:r>
      <w:r>
        <w:br/>
      </w:r>
      <w:r>
        <w:rPr>
          <w:rStyle w:val="VerbatimChar"/>
        </w:rPr>
        <w:t xml:space="preserve">  |  server components and server actions</w:t>
      </w:r>
      <w:r>
        <w:br/>
      </w:r>
      <w:r>
        <w:rPr>
          <w:rStyle w:val="VerbatimChar"/>
        </w:rPr>
        <w:t xml:space="preserve">  |  background jobs: accruals, year end, reminders,</w:t>
      </w:r>
      <w:r>
        <w:br/>
      </w:r>
      <w:r>
        <w:rPr>
          <w:rStyle w:val="VerbatimChar"/>
        </w:rPr>
        <w:t xml:space="preserve">  |  payroll files, calendar push, webhooks</w:t>
      </w:r>
      <w:r>
        <w:br/>
      </w:r>
      <w:r>
        <w:rPr>
          <w:rStyle w:val="VerbatimChar"/>
        </w:rPr>
        <w:t xml:space="preserve">  |  two database roles, never superuser</w:t>
      </w:r>
      <w:r>
        <w:br/>
      </w:r>
      <w:r>
        <w:rPr>
          <w:rStyle w:val="VerbatimChar"/>
        </w:rPr>
        <w:t xml:space="preserve">  v</w:t>
      </w:r>
      <w:r>
        <w:br/>
      </w:r>
      <w:r>
        <w:rPr>
          <w:rStyle w:val="VerbatimChar"/>
        </w:rPr>
        <w:t xml:space="preserve">PostgreSQL 16, row-level security on company tables</w:t>
      </w:r>
      <w:r>
        <w:br/>
      </w:r>
      <w:r>
        <w:rPr>
          <w:rStyle w:val="VerbatimChar"/>
        </w:rPr>
        <w:t xml:space="preserve">  |</w:t>
      </w:r>
      <w:r>
        <w:br/>
      </w:r>
      <w:r>
        <w:rPr>
          <w:rStyle w:val="VerbatimChar"/>
        </w:rPr>
        <w:t xml:space="preserve">  +-- backups and point-in-time recovery,</w:t>
      </w:r>
      <w:r>
        <w:br/>
      </w:r>
      <w:r>
        <w:rPr>
          <w:rStyle w:val="VerbatimChar"/>
        </w:rPr>
        <w:t xml:space="preserve">      copies in AWS Canada West</w:t>
      </w:r>
      <w:r>
        <w:br/>
      </w:r>
      <w:r>
        <w:br/>
      </w:r>
      <w:r>
        <w:rPr>
          <w:rStyle w:val="VerbatimChar"/>
        </w:rPr>
        <w:t xml:space="preserve">Email: Amazon SES (Canada)    Files: S3 (Canada)</w:t>
      </w:r>
      <w:r>
        <w:br/>
      </w:r>
      <w:r>
        <w:rPr>
          <w:rStyle w:val="VerbatimChar"/>
        </w:rPr>
        <w:t xml:space="preserve">Secrets: AWS Secrets Manager</w:t>
      </w:r>
    </w:p>
    <w:p>
      <w:pPr>
        <w:pStyle w:val="FirstParagraph"/>
      </w:pPr>
      <w:r>
        <w:t xml:space="preserve">One application serves every company. The request’s host decides the company. The database, not the application code, enforces separation between companies.</w:t>
      </w:r>
    </w:p>
    <w:bookmarkEnd w:id="21"/>
    <w:bookmarkStart w:id="22" w:name="technology-stack"/>
    <w:p>
      <w:pPr>
        <w:pStyle w:val="Heading1"/>
      </w:pPr>
      <w:r>
        <w:t xml:space="preserve">3. Technology stack</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981"/>
        <w:gridCol w:w="2683"/>
        <w:gridCol w:w="1112"/>
        <w:gridCol w:w="3141"/>
      </w:tblGrid>
      <w:tr>
        <w:trPr>
          <w:tblHeader w:val="true"/>
        </w:trPr>
        <w:tc>
          <w:tcPr>
            <w:shd w:val="clear" w:fill="E8EEF6"/>
          </w:tcPr>
          <w:p>
            <w:pPr>
              <w:pStyle w:val="Compact"/>
              <w:jc w:val="left"/>
            </w:pPr>
            <w:r>
              <w:rPr>
                <w:b/>
              </w:rPr>
              <w:t xml:space="preserve">Layer</w:t>
            </w:r>
          </w:p>
        </w:tc>
        <w:tc>
          <w:tcPr>
            <w:shd w:val="clear" w:fill="E8EEF6"/>
          </w:tcPr>
          <w:p>
            <w:pPr>
              <w:pStyle w:val="Compact"/>
              <w:jc w:val="left"/>
            </w:pPr>
            <w:r>
              <w:rPr>
                <w:b/>
              </w:rPr>
              <w:t xml:space="preserve">Choice</w:t>
            </w:r>
          </w:p>
        </w:tc>
        <w:tc>
          <w:tcPr>
            <w:shd w:val="clear" w:fill="E8EEF6"/>
          </w:tcPr>
          <w:p>
            <w:pPr>
              <w:pStyle w:val="Compact"/>
              <w:jc w:val="left"/>
            </w:pPr>
            <w:r>
              <w:rPr>
                <w:b/>
              </w:rPr>
              <w:t xml:space="preserve">Version (pinned)</w:t>
            </w:r>
          </w:p>
        </w:tc>
        <w:tc>
          <w:tcPr>
            <w:shd w:val="clear" w:fill="E8EEF6"/>
          </w:tcPr>
          <w:p>
            <w:pPr>
              <w:pStyle w:val="Compact"/>
              <w:jc w:val="left"/>
            </w:pPr>
            <w:r>
              <w:rPr>
                <w:b/>
              </w:rPr>
              <w:t xml:space="preserve">Reason</w:t>
            </w:r>
          </w:p>
        </w:tc>
      </w:tr>
      <w:tr>
        <w:tc>
          <w:tcPr/>
          <w:p>
            <w:pPr>
              <w:pStyle w:val="Compact"/>
              <w:jc w:val="left"/>
            </w:pPr>
            <w:r>
              <w:t xml:space="preserve">Runtime</w:t>
            </w:r>
          </w:p>
        </w:tc>
        <w:tc>
          <w:tcPr/>
          <w:p>
            <w:pPr>
              <w:pStyle w:val="Compact"/>
              <w:jc w:val="left"/>
            </w:pPr>
            <w:r>
              <w:t xml:space="preserve">Node.js</w:t>
            </w:r>
          </w:p>
        </w:tc>
        <w:tc>
          <w:tcPr/>
          <w:p>
            <w:pPr>
              <w:pStyle w:val="Compact"/>
              <w:jc w:val="left"/>
            </w:pPr>
            <w:r>
              <w:t xml:space="preserve">22 LTS</w:t>
            </w:r>
          </w:p>
        </w:tc>
        <w:tc>
          <w:tcPr/>
          <w:p>
            <w:pPr>
              <w:pStyle w:val="Compact"/>
              <w:jc w:val="left"/>
            </w:pPr>
            <w:r>
              <w:t xml:space="preserve">Long-term support</w:t>
            </w:r>
          </w:p>
        </w:tc>
      </w:tr>
      <w:tr>
        <w:tc>
          <w:tcPr/>
          <w:p>
            <w:pPr>
              <w:pStyle w:val="Compact"/>
              <w:jc w:val="left"/>
            </w:pPr>
            <w:r>
              <w:t xml:space="preserve">Web framework</w:t>
            </w:r>
          </w:p>
        </w:tc>
        <w:tc>
          <w:tcPr/>
          <w:p>
            <w:pPr>
              <w:pStyle w:val="Compact"/>
              <w:jc w:val="left"/>
            </w:pPr>
            <w:r>
              <w:t xml:space="preserve">Next.js (App Router), React</w:t>
            </w:r>
          </w:p>
        </w:tc>
        <w:tc>
          <w:tcPr/>
          <w:p>
            <w:pPr>
              <w:pStyle w:val="Compact"/>
              <w:jc w:val="left"/>
            </w:pPr>
            <w:r>
              <w:t xml:space="preserve">15.5.28, 19.1.10</w:t>
            </w:r>
          </w:p>
        </w:tc>
        <w:tc>
          <w:tcPr/>
          <w:p>
            <w:pPr>
              <w:pStyle w:val="Compact"/>
              <w:jc w:val="left"/>
            </w:pPr>
            <w:r>
              <w:t xml:space="preserve">Server rendering, server actions with built-in origin checks</w:t>
            </w:r>
          </w:p>
        </w:tc>
      </w:tr>
      <w:tr>
        <w:tc>
          <w:tcPr/>
          <w:p>
            <w:pPr>
              <w:pStyle w:val="Compact"/>
              <w:jc w:val="left"/>
            </w:pPr>
            <w:r>
              <w:t xml:space="preserve">Language</w:t>
            </w:r>
          </w:p>
        </w:tc>
        <w:tc>
          <w:tcPr/>
          <w:p>
            <w:pPr>
              <w:pStyle w:val="Compact"/>
              <w:jc w:val="left"/>
            </w:pPr>
            <w:r>
              <w:t xml:space="preserve">TypeScript, strict</w:t>
            </w:r>
          </w:p>
        </w:tc>
        <w:tc>
          <w:tcPr/>
          <w:p>
            <w:pPr>
              <w:pStyle w:val="Compact"/>
              <w:jc w:val="left"/>
            </w:pPr>
            <w:r>
              <w:t xml:space="preserve">5.9.3</w:t>
            </w:r>
          </w:p>
        </w:tc>
        <w:tc>
          <w:tcPr/>
          <w:p>
            <w:pPr>
              <w:pStyle w:val="Compact"/>
            </w:pP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16</w:t>
            </w:r>
          </w:p>
        </w:tc>
        <w:tc>
          <w:tcPr/>
          <w:p>
            <w:pPr>
              <w:pStyle w:val="Compact"/>
              <w:jc w:val="left"/>
            </w:pPr>
            <w:r>
              <w:t xml:space="preserve">Row-level security, JSONB, mature managed options in Canada</w:t>
            </w:r>
          </w:p>
        </w:tc>
      </w:tr>
      <w:tr>
        <w:tc>
          <w:tcPr/>
          <w:p>
            <w:pPr>
              <w:pStyle w:val="Compact"/>
              <w:jc w:val="left"/>
            </w:pPr>
            <w:r>
              <w:t xml:space="preserve">Database driver</w:t>
            </w:r>
          </w:p>
        </w:tc>
        <w:tc>
          <w:tcPr/>
          <w:p>
            <w:pPr>
              <w:pStyle w:val="Compact"/>
              <w:jc w:val="left"/>
            </w:pPr>
            <w:r>
              <w:t xml:space="preserve">postgres.js, plain SQL migrations</w:t>
            </w:r>
          </w:p>
        </w:tc>
        <w:tc>
          <w:tcPr/>
          <w:p>
            <w:pPr>
              <w:pStyle w:val="Compact"/>
              <w:jc w:val="left"/>
            </w:pPr>
            <w:r>
              <w:t xml:space="preserve">3.4.9</w:t>
            </w:r>
          </w:p>
        </w:tc>
        <w:tc>
          <w:tcPr/>
          <w:p>
            <w:pPr>
              <w:pStyle w:val="Compact"/>
              <w:jc w:val="left"/>
            </w:pPr>
            <w:r>
              <w:t xml:space="preserve">Separation rules readable as SQL; no ORM layer between app and policies</w:t>
            </w:r>
          </w:p>
        </w:tc>
      </w:tr>
      <w:tr>
        <w:tc>
          <w:tcPr/>
          <w:p>
            <w:pPr>
              <w:pStyle w:val="Compact"/>
              <w:jc w:val="left"/>
            </w:pPr>
            <w:r>
              <w:t xml:space="preserve">Validation</w:t>
            </w:r>
          </w:p>
        </w:tc>
        <w:tc>
          <w:tcPr/>
          <w:p>
            <w:pPr>
              <w:pStyle w:val="Compact"/>
              <w:jc w:val="left"/>
            </w:pPr>
            <w:r>
              <w:t xml:space="preserve">Zod</w:t>
            </w:r>
          </w:p>
        </w:tc>
        <w:tc>
          <w:tcPr/>
          <w:p>
            <w:pPr>
              <w:pStyle w:val="Compact"/>
              <w:jc w:val="left"/>
            </w:pPr>
            <w:r>
              <w:t xml:space="preserve">4.6.7</w:t>
            </w:r>
          </w:p>
        </w:tc>
        <w:tc>
          <w:tcPr/>
          <w:p>
            <w:pPr>
              <w:pStyle w:val="Compact"/>
              <w:jc w:val="left"/>
            </w:pPr>
            <w:r>
              <w:t xml:space="preserve">Upgraded for advisory GHSA-mrhx-c7xc-m3w5</w:t>
            </w:r>
          </w:p>
        </w:tc>
      </w:tr>
      <w:tr>
        <w:tc>
          <w:tcPr/>
          <w:p>
            <w:pPr>
              <w:pStyle w:val="Compact"/>
              <w:jc w:val="left"/>
            </w:pPr>
            <w:r>
              <w:t xml:space="preserve">QR codes</w:t>
            </w:r>
          </w:p>
        </w:tc>
        <w:tc>
          <w:tcPr/>
          <w:p>
            <w:pPr>
              <w:pStyle w:val="Compact"/>
              <w:jc w:val="left"/>
            </w:pPr>
            <w:r>
              <w:t xml:space="preserve">qrcode</w:t>
            </w:r>
          </w:p>
        </w:tc>
        <w:tc>
          <w:tcPr/>
          <w:p>
            <w:pPr>
              <w:pStyle w:val="Compact"/>
              <w:jc w:val="left"/>
            </w:pPr>
            <w:r>
              <w:t xml:space="preserve">1.5.4</w:t>
            </w:r>
          </w:p>
        </w:tc>
        <w:tc>
          <w:tcPr/>
          <w:p>
            <w:pPr>
              <w:pStyle w:val="Compact"/>
              <w:jc w:val="left"/>
            </w:pPr>
            <w:r>
              <w:t xml:space="preserve">Two-step set-up</w:t>
            </w:r>
          </w:p>
        </w:tc>
      </w:tr>
      <w:tr>
        <w:tc>
          <w:tcPr/>
          <w:p>
            <w:pPr>
              <w:pStyle w:val="Compact"/>
              <w:jc w:val="left"/>
            </w:pPr>
            <w:r>
              <w:t xml:space="preserve">Tests</w:t>
            </w:r>
          </w:p>
        </w:tc>
        <w:tc>
          <w:tcPr/>
          <w:p>
            <w:pPr>
              <w:pStyle w:val="Compact"/>
              <w:jc w:val="left"/>
            </w:pPr>
            <w:r>
              <w:t xml:space="preserve">Vitest</w:t>
            </w:r>
          </w:p>
        </w:tc>
        <w:tc>
          <w:tcPr/>
          <w:p>
            <w:pPr>
              <w:pStyle w:val="Compact"/>
              <w:jc w:val="left"/>
            </w:pPr>
            <w:r>
              <w:t xml:space="preserve">5.0.5</w:t>
            </w:r>
          </w:p>
        </w:tc>
        <w:tc>
          <w:tcPr/>
          <w:p>
            <w:pPr>
              <w:pStyle w:val="Compact"/>
              <w:jc w:val="left"/>
            </w:pPr>
            <w:r>
              <w:t xml:space="preserve">Unit and real-database tests</w:t>
            </w:r>
          </w:p>
        </w:tc>
      </w:tr>
      <w:tr>
        <w:tc>
          <w:tcPr/>
          <w:p>
            <w:pPr>
              <w:pStyle w:val="Compact"/>
              <w:jc w:val="left"/>
            </w:pPr>
            <w:r>
              <w:t xml:space="preserve">CI</w:t>
            </w:r>
          </w:p>
        </w:tc>
        <w:tc>
          <w:tcPr/>
          <w:p>
            <w:pPr>
              <w:pStyle w:val="Compact"/>
              <w:jc w:val="left"/>
            </w:pPr>
            <w:r>
              <w:t xml:space="preserve">GitHub Actions with a Postgres 16 service</w:t>
            </w:r>
          </w:p>
        </w:tc>
        <w:tc>
          <w:tcPr/>
          <w:p>
            <w:pPr>
              <w:pStyle w:val="Compact"/>
            </w:pPr>
          </w:p>
        </w:tc>
        <w:tc>
          <w:tcPr/>
          <w:p>
            <w:pPr>
              <w:pStyle w:val="Compact"/>
              <w:jc w:val="left"/>
            </w:pPr>
            <w:r>
              <w:t xml:space="preserve">Audit, lint, type check, tests, build on every pull request</w:t>
            </w:r>
          </w:p>
        </w:tc>
      </w:tr>
    </w:tbl>
    <w:p>
      <w:pPr>
        <w:pStyle w:val="BodyText"/>
      </w:pPr>
      <w:r>
        <w:t xml:space="preserve">Dependency policy: exact versions,</w:t>
      </w:r>
      <w:r>
        <w:t xml:space="preserve"> </w:t>
      </w:r>
      <w:r>
        <w:rPr>
          <w:rStyle w:val="VerbatimChar"/>
        </w:rPr>
        <w:t xml:space="preserve">npm audit --audit-level=high</w:t>
      </w:r>
      <w:r>
        <w:t xml:space="preserve"> </w:t>
      </w:r>
      <w:r>
        <w:t xml:space="preserve">blocks merges, PostCSS forced to a patched version through</w:t>
      </w:r>
      <w:r>
        <w:t xml:space="preserve"> </w:t>
      </w:r>
      <w:r>
        <w:rPr>
          <w:rStyle w:val="VerbatimChar"/>
        </w:rPr>
        <w:t xml:space="preserve">overrides</w:t>
      </w:r>
      <w:r>
        <w:t xml:space="preserve"> </w:t>
      </w:r>
      <w:r>
        <w:t xml:space="preserve">while on Next.js 15.</w:t>
      </w:r>
    </w:p>
    <w:bookmarkEnd w:id="22"/>
    <w:bookmarkStart w:id="26" w:name="company-data-separation-nfr-01"/>
    <w:p>
      <w:pPr>
        <w:pStyle w:val="Heading1"/>
      </w:pPr>
      <w:r>
        <w:t xml:space="preserve">4. Company data separation (NFR-01)</w:t>
      </w:r>
    </w:p>
    <w:bookmarkStart w:id="23" w:name="database-roles"/>
    <w:p>
      <w:pPr>
        <w:pStyle w:val="Heading2"/>
      </w:pPr>
      <w:r>
        <w:t xml:space="preserve">4.1 Database roles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007"/>
        <w:gridCol w:w="3456"/>
        <w:gridCol w:w="3456"/>
      </w:tblGrid>
      <w:tr>
        <w:trPr>
          <w:tblHeader w:val="true"/>
        </w:trPr>
        <w:tc>
          <w:tcPr>
            <w:shd w:val="clear" w:fill="E8EEF6"/>
          </w:tcPr>
          <w:p>
            <w:pPr>
              <w:pStyle w:val="Compact"/>
              <w:jc w:val="left"/>
            </w:pPr>
            <w:r>
              <w:rPr>
                <w:b/>
              </w:rPr>
              <w:t xml:space="preserve">Role</w:t>
            </w:r>
          </w:p>
        </w:tc>
        <w:tc>
          <w:tcPr>
            <w:shd w:val="clear" w:fill="E8EEF6"/>
          </w:tcPr>
          <w:p>
            <w:pPr>
              <w:pStyle w:val="Compact"/>
              <w:jc w:val="left"/>
            </w:pPr>
            <w:r>
              <w:rPr>
                <w:b/>
              </w:rPr>
              <w:t xml:space="preserve">Can</w:t>
            </w:r>
          </w:p>
        </w:tc>
        <w:tc>
          <w:tcPr>
            <w:shd w:val="clear" w:fill="E8EEF6"/>
          </w:tcPr>
          <w:p>
            <w:pPr>
              <w:pStyle w:val="Compact"/>
              <w:jc w:val="left"/>
            </w:pPr>
            <w:r>
              <w:rPr>
                <w:b/>
              </w:rPr>
              <w:t xml:space="preserve">Cannot</w:t>
            </w:r>
          </w:p>
        </w:tc>
      </w:tr>
      <w:tr>
        <w:tc>
          <w:tcPr/>
          <w:p>
            <w:pPr>
              <w:pStyle w:val="Compact"/>
              <w:jc w:val="left"/>
            </w:pPr>
            <w:r>
              <w:t xml:space="preserve">Admin (owner)</w:t>
            </w:r>
          </w:p>
        </w:tc>
        <w:tc>
          <w:tcPr/>
          <w:p>
            <w:pPr>
              <w:pStyle w:val="Compact"/>
              <w:jc w:val="left"/>
            </w:pPr>
            <w:r>
              <w:t xml:space="preserve">Run migrations only</w:t>
            </w:r>
          </w:p>
        </w:tc>
        <w:tc>
          <w:tcPr/>
          <w:p>
            <w:pPr>
              <w:pStyle w:val="Compact"/>
              <w:jc w:val="left"/>
            </w:pPr>
            <w:r>
              <w:t xml:space="preserve">Is never used by the running app</w:t>
            </w:r>
          </w:p>
        </w:tc>
      </w:tr>
      <w:tr>
        <w:tc>
          <w:tcPr/>
          <w:p>
            <w:pPr>
              <w:pStyle w:val="Compact"/>
              <w:jc w:val="left"/>
            </w:pPr>
            <w:r>
              <w:rPr>
                <w:rStyle w:val="VerbatimChar"/>
              </w:rPr>
              <w:t xml:space="preserve">aas_app</w:t>
            </w:r>
          </w:p>
        </w:tc>
        <w:tc>
          <w:tcPr/>
          <w:p>
            <w:pPr>
              <w:pStyle w:val="Compact"/>
              <w:jc w:val="left"/>
            </w:pPr>
            <w:r>
              <w:t xml:space="preserve">Read and write company tables, only for the company set on the current transaction; look up one company’s public branding by host</w:t>
            </w:r>
          </w:p>
        </w:tc>
        <w:tc>
          <w:tcPr/>
          <w:p>
            <w:pPr>
              <w:pStyle w:val="Compact"/>
              <w:jc w:val="left"/>
            </w:pPr>
            <w:r>
              <w:t xml:space="preserve">Read the companies table; read platform tables; bypass row-level security</w:t>
            </w:r>
          </w:p>
        </w:tc>
      </w:tr>
      <w:tr>
        <w:tc>
          <w:tcPr/>
          <w:p>
            <w:pPr>
              <w:pStyle w:val="Compact"/>
              <w:jc w:val="left"/>
            </w:pPr>
            <w:r>
              <w:rPr>
                <w:rStyle w:val="VerbatimChar"/>
              </w:rPr>
              <w:t xml:space="preserve">aas_platform</w:t>
            </w:r>
          </w:p>
        </w:tc>
        <w:tc>
          <w:tcPr/>
          <w:p>
            <w:pPr>
              <w:pStyle w:val="Compact"/>
              <w:jc w:val="left"/>
            </w:pPr>
            <w:r>
              <w:t xml:space="preserve">Manage companies and platform owner sign-in tables</w:t>
            </w:r>
          </w:p>
        </w:tc>
        <w:tc>
          <w:tcPr/>
          <w:p>
            <w:pPr>
              <w:pStyle w:val="Compact"/>
              <w:jc w:val="left"/>
            </w:pPr>
            <w:r>
              <w:t xml:space="preserve">Read any company table (people, sessions, audit log and so on)</w:t>
            </w:r>
          </w:p>
        </w:tc>
      </w:tr>
    </w:tbl>
    <w:bookmarkEnd w:id="23"/>
    <w:bookmarkStart w:id="24" w:name="row-level-security"/>
    <w:p>
      <w:pPr>
        <w:pStyle w:val="Heading2"/>
      </w:pPr>
      <w:r>
        <w:t xml:space="preserve">4.2 Row-level security</w:t>
      </w:r>
    </w:p>
    <w:p>
      <w:pPr>
        <w:numPr>
          <w:ilvl w:val="0"/>
          <w:numId w:val="1001"/>
        </w:numPr>
        <w:pStyle w:val="Compact"/>
      </w:pPr>
      <w:r>
        <w:t xml:space="preserve">Every company table has</w:t>
      </w:r>
      <w:r>
        <w:t xml:space="preserve"> </w:t>
      </w:r>
      <w:r>
        <w:rPr>
          <w:rStyle w:val="VerbatimChar"/>
        </w:rPr>
        <w:t xml:space="preserve">tenant_id</w:t>
      </w:r>
      <w:r>
        <w:t xml:space="preserve">, row-level security</w:t>
      </w:r>
      <w:r>
        <w:t xml:space="preserve"> </w:t>
      </w:r>
      <w:r>
        <w:rPr>
          <w:bCs/>
          <w:b/>
        </w:rPr>
        <w:t xml:space="preserve">enabled and forced</w:t>
      </w:r>
      <w:r>
        <w:t xml:space="preserve">, and a policy</w:t>
      </w:r>
      <w:r>
        <w:t xml:space="preserve"> </w:t>
      </w:r>
      <w:r>
        <w:rPr>
          <w:rStyle w:val="VerbatimChar"/>
        </w:rPr>
        <w:t xml:space="preserve">tenant_id = app_tenant_id()</w:t>
      </w:r>
      <w:r>
        <w:t xml:space="preserve"> </w:t>
      </w:r>
      <w:r>
        <w:t xml:space="preserve">for both reading and writing.</w:t>
      </w:r>
    </w:p>
    <w:p>
      <w:pPr>
        <w:numPr>
          <w:ilvl w:val="0"/>
          <w:numId w:val="1001"/>
        </w:numPr>
        <w:pStyle w:val="Compact"/>
      </w:pPr>
      <w:r>
        <w:rPr>
          <w:rStyle w:val="VerbatimChar"/>
        </w:rPr>
        <w:t xml:space="preserve">app_tenant_id()</w:t>
      </w:r>
      <w:r>
        <w:t xml:space="preserve"> </w:t>
      </w:r>
      <w:r>
        <w:t xml:space="preserve">reads the transaction setting</w:t>
      </w:r>
      <w:r>
        <w:t xml:space="preserve"> </w:t>
      </w:r>
      <w:r>
        <w:rPr>
          <w:rStyle w:val="VerbatimChar"/>
        </w:rPr>
        <w:t xml:space="preserve">app.tenant_id</w:t>
      </w:r>
      <w:r>
        <w:t xml:space="preserve">. With nothing set it returns NULL, so queries return no rows (fails closed).</w:t>
      </w:r>
    </w:p>
    <w:p>
      <w:pPr>
        <w:numPr>
          <w:ilvl w:val="0"/>
          <w:numId w:val="1001"/>
        </w:numPr>
        <w:pStyle w:val="Compact"/>
      </w:pPr>
      <w:r>
        <w:t xml:space="preserve">The app reaches company data only through</w:t>
      </w:r>
      <w:r>
        <w:t xml:space="preserve"> </w:t>
      </w:r>
      <w:r>
        <w:rPr>
          <w:rStyle w:val="VerbatimChar"/>
        </w:rPr>
        <w:t xml:space="preserve">withTenant(id, fn)</w:t>
      </w:r>
      <w:r>
        <w:t xml:space="preserve">, which opens a transaction and sets the company with</w:t>
      </w:r>
      <w:r>
        <w:t xml:space="preserve"> </w:t>
      </w:r>
      <w:r>
        <w:rPr>
          <w:rStyle w:val="VerbatimChar"/>
        </w:rPr>
        <w:t xml:space="preserve">set_config(..., true)</w:t>
      </w:r>
      <w:r>
        <w:t xml:space="preserve">, so the setting ends with the transaction and cannot leak to the next request on a pooled connection.</w:t>
      </w:r>
    </w:p>
    <w:p>
      <w:pPr>
        <w:numPr>
          <w:ilvl w:val="0"/>
          <w:numId w:val="1001"/>
        </w:numPr>
        <w:pStyle w:val="Compact"/>
      </w:pPr>
      <w:r>
        <w:t xml:space="preserve">Links between rows use composite foreign keys</w:t>
      </w:r>
      <w:r>
        <w:t xml:space="preserve"> </w:t>
      </w:r>
      <w:r>
        <w:rPr>
          <w:rStyle w:val="VerbatimChar"/>
        </w:rPr>
        <w:t xml:space="preserve">(tenant_id, id)</w:t>
      </w:r>
      <w:r>
        <w:t xml:space="preserve">, so a manager, session or factor can never point at another company’s person, even for the admin role.</w:t>
      </w:r>
    </w:p>
    <w:p>
      <w:pPr>
        <w:numPr>
          <w:ilvl w:val="0"/>
          <w:numId w:val="1001"/>
        </w:numPr>
        <w:pStyle w:val="Compact"/>
      </w:pPr>
      <w:r>
        <w:t xml:space="preserve">A guard test lists every table with a</w:t>
      </w:r>
      <w:r>
        <w:t xml:space="preserve"> </w:t>
      </w:r>
      <w:r>
        <w:rPr>
          <w:rStyle w:val="VerbatimChar"/>
        </w:rPr>
        <w:t xml:space="preserve">tenant_id</w:t>
      </w:r>
      <w:r>
        <w:t xml:space="preserve"> </w:t>
      </w:r>
      <w:r>
        <w:t xml:space="preserve">column and fails if any lacks forced row-level security and an</w:t>
      </w:r>
      <w:r>
        <w:t xml:space="preserve"> </w:t>
      </w:r>
      <w:r>
        <w:rPr>
          <w:rStyle w:val="VerbatimChar"/>
        </w:rPr>
        <w:t xml:space="preserve">aas_app</w:t>
      </w:r>
      <w:r>
        <w:t xml:space="preserve"> </w:t>
      </w:r>
      <w:r>
        <w:t xml:space="preserve">policy.</w:t>
      </w:r>
    </w:p>
    <w:bookmarkEnd w:id="24"/>
    <w:bookmarkStart w:id="25" w:name="X411a36366aff9a687aba60c824819fc46b7f51a"/>
    <w:p>
      <w:pPr>
        <w:pStyle w:val="Heading2"/>
      </w:pPr>
      <w:r>
        <w:t xml:space="preserve">4.3 Moving a company to its own database later</w:t>
      </w:r>
    </w:p>
    <w:p>
      <w:pPr>
        <w:pStyle w:val="FirstParagraph"/>
      </w:pPr>
      <w:r>
        <w:t xml:space="preserve">UUID keys everywhere (no shared sequences), no cross-company foreign keys, files under a per-company prefix. A tenant registry will map company to connection string; moving a company is copy, verify counts and checksums, switch the registry entry, delete from the shared database.</w:t>
      </w:r>
    </w:p>
    <w:bookmarkEnd w:id="25"/>
    <w:bookmarkEnd w:id="26"/>
    <w:bookmarkStart w:id="29" w:name="data-model"/>
    <w:p>
      <w:pPr>
        <w:pStyle w:val="Heading1"/>
      </w:pPr>
      <w:r>
        <w:t xml:space="preserve">5. Data model</w:t>
      </w:r>
    </w:p>
    <w:bookmarkStart w:id="27" w:name="built-migrations-001-to-003"/>
    <w:p>
      <w:pPr>
        <w:pStyle w:val="Heading2"/>
      </w:pPr>
      <w:r>
        <w:t xml:space="preserve">5.1 Built (migrations 001 to 003)</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3221"/>
        <w:gridCol w:w="1476"/>
        <w:gridCol w:w="3221"/>
      </w:tblGrid>
      <w:tr>
        <w:trPr>
          <w:tblHeader w:val="true"/>
        </w:trPr>
        <w:tc>
          <w:tcPr>
            <w:shd w:val="clear" w:fill="E8EEF6"/>
          </w:tcPr>
          <w:p>
            <w:pPr>
              <w:pStyle w:val="Compact"/>
              <w:jc w:val="left"/>
            </w:pPr>
            <w:r>
              <w:rPr>
                <w:b/>
              </w:rPr>
              <w:t xml:space="preserve">Table</w:t>
            </w:r>
          </w:p>
        </w:tc>
        <w:tc>
          <w:tcPr>
            <w:shd w:val="clear" w:fill="E8EEF6"/>
          </w:tcPr>
          <w:p>
            <w:pPr>
              <w:pStyle w:val="Compact"/>
              <w:jc w:val="left"/>
            </w:pPr>
            <w:r>
              <w:rPr>
                <w:b/>
              </w:rPr>
              <w:t xml:space="preserve">Purpose</w:t>
            </w:r>
          </w:p>
        </w:tc>
        <w:tc>
          <w:tcPr>
            <w:shd w:val="clear" w:fill="E8EEF6"/>
          </w:tcPr>
          <w:p>
            <w:pPr>
              <w:pStyle w:val="Compact"/>
              <w:jc w:val="left"/>
            </w:pPr>
            <w:r>
              <w:rPr>
                <w:b/>
              </w:rPr>
              <w:t xml:space="preserve">Key columns</w:t>
            </w:r>
          </w:p>
        </w:tc>
      </w:tr>
      <w:tr>
        <w:tc>
          <w:tcPr/>
          <w:p>
            <w:pPr>
              <w:pStyle w:val="Compact"/>
              <w:jc w:val="left"/>
            </w:pPr>
            <w:r>
              <w:rPr>
                <w:rStyle w:val="VerbatimChar"/>
              </w:rPr>
              <w:t xml:space="preserve">tenants</w:t>
            </w:r>
          </w:p>
        </w:tc>
        <w:tc>
          <w:tcPr/>
          <w:p>
            <w:pPr>
              <w:pStyle w:val="Compact"/>
              <w:jc w:val="left"/>
            </w:pPr>
            <w:r>
              <w:t xml:space="preserve">Companies</w:t>
            </w:r>
          </w:p>
        </w:tc>
        <w:tc>
          <w:tcPr/>
          <w:p>
            <w:pPr>
              <w:pStyle w:val="Compact"/>
              <w:jc w:val="left"/>
            </w:pPr>
            <w:r>
              <w:t xml:space="preserve">legal_name, short_label (unique ignoring case and spaces, 24 max), subdomain, custom_domain, brand_color, country, status</w:t>
            </w:r>
          </w:p>
        </w:tc>
      </w:tr>
      <w:tr>
        <w:tc>
          <w:tcPr/>
          <w:p>
            <w:pPr>
              <w:pStyle w:val="Compact"/>
              <w:jc w:val="left"/>
            </w:pPr>
            <w:r>
              <w:rPr>
                <w:rStyle w:val="VerbatimChar"/>
              </w:rPr>
              <w:t xml:space="preserve">people</w:t>
            </w:r>
          </w:p>
        </w:tc>
        <w:tc>
          <w:tcPr/>
          <w:p>
            <w:pPr>
              <w:pStyle w:val="Compact"/>
              <w:jc w:val="left"/>
            </w:pPr>
            <w:r>
              <w:t xml:space="preserve">Employees</w:t>
            </w:r>
          </w:p>
        </w:tc>
        <w:tc>
          <w:tcPr/>
          <w:p>
            <w:pPr>
              <w:pStyle w:val="Compact"/>
              <w:jc w:val="left"/>
            </w:pPr>
            <w:r>
              <w:t xml:space="preserve">tenant_id, full_name, email (unique per company), job_title, jurisdiction (</w:t>
            </w:r>
            <w:r>
              <w:rPr>
                <w:rStyle w:val="VerbatimChar"/>
              </w:rPr>
              <w:t xml:space="preserve">CA-ON</w:t>
            </w:r>
            <w:r>
              <w:t xml:space="preserve">,</w:t>
            </w:r>
            <w:r>
              <w:t xml:space="preserve"> </w:t>
            </w:r>
            <w:r>
              <w:rPr>
                <w:rStyle w:val="VerbatimChar"/>
              </w:rPr>
              <w:t xml:space="preserve">US-CA</w:t>
            </w:r>
            <w:r>
              <w:t xml:space="preserve">), hire_date, manager_id, role, status</w:t>
            </w:r>
          </w:p>
        </w:tc>
      </w:tr>
      <w:tr>
        <w:tc>
          <w:tcPr/>
          <w:p>
            <w:pPr>
              <w:pStyle w:val="Compact"/>
              <w:jc w:val="left"/>
            </w:pPr>
            <w:r>
              <w:rPr>
                <w:rStyle w:val="VerbatimChar"/>
              </w:rPr>
              <w:t xml:space="preserve">audit_log</w:t>
            </w:r>
          </w:p>
        </w:tc>
        <w:tc>
          <w:tcPr/>
          <w:p>
            <w:pPr>
              <w:pStyle w:val="Compact"/>
              <w:jc w:val="left"/>
            </w:pPr>
            <w:r>
              <w:t xml:space="preserve">Append-only history</w:t>
            </w:r>
          </w:p>
        </w:tc>
        <w:tc>
          <w:tcPr/>
          <w:p>
            <w:pPr>
              <w:pStyle w:val="Compact"/>
              <w:jc w:val="left"/>
            </w:pPr>
            <w:r>
              <w:t xml:space="preserve">tenant_id, at, actor, action, detail (JSON). Update and delete blocked by trigger and grants.</w:t>
            </w:r>
          </w:p>
        </w:tc>
      </w:tr>
      <w:tr>
        <w:tc>
          <w:tcPr/>
          <w:p>
            <w:pPr>
              <w:pStyle w:val="Compact"/>
              <w:jc w:val="left"/>
            </w:pPr>
            <w:r>
              <w:rPr>
                <w:rStyle w:val="VerbatimChar"/>
              </w:rPr>
              <w:t xml:space="preserve">login_tokens</w:t>
            </w:r>
            <w:r>
              <w:t xml:space="preserve">,</w:t>
            </w:r>
            <w:r>
              <w:t xml:space="preserve"> </w:t>
            </w:r>
            <w:r>
              <w:rPr>
                <w:rStyle w:val="VerbatimChar"/>
              </w:rPr>
              <w:t xml:space="preserve">sessions</w:t>
            </w:r>
          </w:p>
        </w:tc>
        <w:tc>
          <w:tcPr/>
          <w:p>
            <w:pPr>
              <w:pStyle w:val="Compact"/>
              <w:jc w:val="left"/>
            </w:pPr>
            <w:r>
              <w:t xml:space="preserve">Email sign-in</w:t>
            </w:r>
          </w:p>
        </w:tc>
        <w:tc>
          <w:tcPr/>
          <w:p>
            <w:pPr>
              <w:pStyle w:val="Compact"/>
              <w:jc w:val="left"/>
            </w:pPr>
            <w:r>
              <w:t xml:space="preserve">SHA-256 token hashes, expiry, used or revoked time, method, mfa_at</w:t>
            </w:r>
          </w:p>
        </w:tc>
      </w:tr>
      <w:tr>
        <w:tc>
          <w:tcPr/>
          <w:p>
            <w:pPr>
              <w:pStyle w:val="Compact"/>
              <w:jc w:val="left"/>
            </w:pPr>
            <w:r>
              <w:rPr>
                <w:rStyle w:val="VerbatimChar"/>
              </w:rPr>
              <w:t xml:space="preserve">mfa_factors</w:t>
            </w:r>
            <w:r>
              <w:t xml:space="preserve">,</w:t>
            </w:r>
            <w:r>
              <w:t xml:space="preserve"> </w:t>
            </w:r>
            <w:r>
              <w:rPr>
                <w:rStyle w:val="VerbatimChar"/>
              </w:rPr>
              <w:t xml:space="preserve">mfa_recovery_codes</w:t>
            </w:r>
          </w:p>
        </w:tc>
        <w:tc>
          <w:tcPr/>
          <w:p>
            <w:pPr>
              <w:pStyle w:val="Compact"/>
              <w:jc w:val="left"/>
            </w:pPr>
            <w:r>
              <w:t xml:space="preserve">Two-step sign-in</w:t>
            </w:r>
          </w:p>
        </w:tc>
        <w:tc>
          <w:tcPr/>
          <w:p>
            <w:pPr>
              <w:pStyle w:val="Compact"/>
              <w:jc w:val="left"/>
            </w:pPr>
            <w:r>
              <w:t xml:space="preserve">Encrypted key, confirmed time, last used step; hashed recovery codes</w:t>
            </w:r>
          </w:p>
        </w:tc>
      </w:tr>
      <w:tr>
        <w:tc>
          <w:tcPr/>
          <w:p>
            <w:pPr>
              <w:pStyle w:val="Compact"/>
              <w:jc w:val="left"/>
            </w:pPr>
            <w:r>
              <w:rPr>
                <w:rStyle w:val="VerbatimChar"/>
              </w:rPr>
              <w:t xml:space="preserve">platform_owners</w:t>
            </w:r>
            <w:r>
              <w:t xml:space="preserve">,</w:t>
            </w:r>
            <w:r>
              <w:t xml:space="preserve"> </w:t>
            </w:r>
            <w:r>
              <w:rPr>
                <w:rStyle w:val="VerbatimChar"/>
              </w:rPr>
              <w:t xml:space="preserve">platform_login_tokens</w:t>
            </w:r>
            <w:r>
              <w:t xml:space="preserve">,</w:t>
            </w:r>
            <w:r>
              <w:t xml:space="preserve"> </w:t>
            </w:r>
            <w:r>
              <w:rPr>
                <w:rStyle w:val="VerbatimChar"/>
              </w:rPr>
              <w:t xml:space="preserve">platform_sessions</w:t>
            </w:r>
            <w:r>
              <w:t xml:space="preserve">,</w:t>
            </w:r>
            <w:r>
              <w:t xml:space="preserve"> </w:t>
            </w:r>
            <w:r>
              <w:rPr>
                <w:rStyle w:val="VerbatimChar"/>
              </w:rPr>
              <w:t xml:space="preserve">platform_mfa_factors</w:t>
            </w:r>
            <w:r>
              <w:t xml:space="preserve">,</w:t>
            </w:r>
            <w:r>
              <w:t xml:space="preserve"> </w:t>
            </w:r>
            <w:r>
              <w:rPr>
                <w:rStyle w:val="VerbatimChar"/>
              </w:rPr>
              <w:t xml:space="preserve">platform_mfa_recovery_codes</w:t>
            </w:r>
          </w:p>
        </w:tc>
        <w:tc>
          <w:tcPr/>
          <w:p>
            <w:pPr>
              <w:pStyle w:val="Compact"/>
              <w:jc w:val="left"/>
            </w:pPr>
            <w:r>
              <w:t xml:space="preserve">Platform owner sign-in</w:t>
            </w:r>
          </w:p>
        </w:tc>
        <w:tc>
          <w:tcPr/>
          <w:p>
            <w:pPr>
              <w:pStyle w:val="Compact"/>
              <w:jc w:val="left"/>
            </w:pPr>
            <w:r>
              <w:t xml:space="preserve">Reachable only by</w:t>
            </w:r>
            <w:r>
              <w:t xml:space="preserve"> </w:t>
            </w:r>
            <w:r>
              <w:rPr>
                <w:rStyle w:val="VerbatimChar"/>
              </w:rPr>
              <w:t xml:space="preserve">aas_platform</w:t>
            </w:r>
          </w:p>
        </w:tc>
      </w:tr>
    </w:tbl>
    <w:bookmarkEnd w:id="27"/>
    <w:bookmarkStart w:id="28" w:name="planned-for-v1"/>
    <w:p>
      <w:pPr>
        <w:pStyle w:val="Heading2"/>
      </w:pPr>
      <w:r>
        <w:t xml:space="preserve">5.2 Planned for v1</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3787"/>
        <w:gridCol w:w="4132"/>
      </w:tblGrid>
      <w:tr>
        <w:trPr>
          <w:tblHeader w:val="true"/>
        </w:trPr>
        <w:tc>
          <w:tcPr>
            <w:shd w:val="clear" w:fill="E8EEF6"/>
          </w:tcPr>
          <w:p>
            <w:pPr>
              <w:pStyle w:val="Compact"/>
              <w:jc w:val="left"/>
            </w:pPr>
            <w:r>
              <w:rPr>
                <w:b/>
              </w:rPr>
              <w:t xml:space="preserve">Table</w:t>
            </w:r>
          </w:p>
        </w:tc>
        <w:tc>
          <w:tcPr>
            <w:shd w:val="clear" w:fill="E8EEF6"/>
          </w:tcPr>
          <w:p>
            <w:pPr>
              <w:pStyle w:val="Compact"/>
              <w:jc w:val="left"/>
            </w:pPr>
            <w:r>
              <w:rPr>
                <w:b/>
              </w:rPr>
              <w:t xml:space="preserve">Purpose</w:t>
            </w:r>
          </w:p>
        </w:tc>
      </w:tr>
      <w:tr>
        <w:tc>
          <w:tcPr/>
          <w:p>
            <w:pPr>
              <w:pStyle w:val="Compact"/>
              <w:jc w:val="left"/>
            </w:pPr>
            <w:r>
              <w:rPr>
                <w:rStyle w:val="VerbatimChar"/>
              </w:rPr>
              <w:t xml:space="preserve">tenant_settings</w:t>
            </w:r>
          </w:p>
        </w:tc>
        <w:tc>
          <w:tcPr/>
          <w:p>
            <w:pPr>
              <w:pStyle w:val="Compact"/>
              <w:jc w:val="left"/>
            </w:pPr>
            <w:r>
              <w:t xml:space="preserve">Time zone, second-approval threshold (default 10), retention, sign-in methods allowed, allowed email domains</w:t>
            </w:r>
          </w:p>
        </w:tc>
      </w:tr>
      <w:tr>
        <w:tc>
          <w:tcPr/>
          <w:p>
            <w:pPr>
              <w:pStyle w:val="Compact"/>
              <w:jc w:val="left"/>
            </w:pPr>
            <w:r>
              <w:rPr>
                <w:rStyle w:val="VerbatimChar"/>
              </w:rPr>
              <w:t xml:space="preserve">teams</w:t>
            </w:r>
            <w:r>
              <w:t xml:space="preserve">,</w:t>
            </w:r>
            <w:r>
              <w:t xml:space="preserve"> </w:t>
            </w:r>
            <w:r>
              <w:rPr>
                <w:rStyle w:val="VerbatimChar"/>
              </w:rPr>
              <w:t xml:space="preserve">locations</w:t>
            </w:r>
          </w:p>
        </w:tc>
        <w:tc>
          <w:tcPr/>
          <w:p>
            <w:pPr>
              <w:pStyle w:val="Compact"/>
              <w:jc w:val="left"/>
            </w:pPr>
            <w:r>
              <w:t xml:space="preserve">Grouping and holiday calendar selection</w:t>
            </w:r>
          </w:p>
        </w:tc>
      </w:tr>
      <w:tr>
        <w:tc>
          <w:tcPr/>
          <w:p>
            <w:pPr>
              <w:pStyle w:val="Compact"/>
              <w:jc w:val="left"/>
            </w:pPr>
            <w:r>
              <w:rPr>
                <w:rStyle w:val="VerbatimChar"/>
              </w:rPr>
              <w:t xml:space="preserve">person_managers</w:t>
            </w:r>
          </w:p>
        </w:tc>
        <w:tc>
          <w:tcPr/>
          <w:p>
            <w:pPr>
              <w:pStyle w:val="Compact"/>
              <w:jc w:val="left"/>
            </w:pPr>
            <w:r>
              <w:t xml:space="preserve">Secondary managers (primary stays on</w:t>
            </w:r>
            <w:r>
              <w:t xml:space="preserve"> </w:t>
            </w:r>
            <w:r>
              <w:rPr>
                <w:rStyle w:val="VerbatimChar"/>
              </w:rPr>
              <w:t xml:space="preserve">people.manager_id</w:t>
            </w:r>
            <w:r>
              <w:t xml:space="preserve">)</w:t>
            </w:r>
          </w:p>
        </w:tc>
      </w:tr>
      <w:tr>
        <w:tc>
          <w:tcPr/>
          <w:p>
            <w:pPr>
              <w:pStyle w:val="Compact"/>
              <w:jc w:val="left"/>
            </w:pPr>
            <w:r>
              <w:rPr>
                <w:rStyle w:val="VerbatimChar"/>
              </w:rPr>
              <w:t xml:space="preserve">work_schedules</w:t>
            </w:r>
          </w:p>
        </w:tc>
        <w:tc>
          <w:tcPr/>
          <w:p>
            <w:pPr>
              <w:pStyle w:val="Compact"/>
              <w:jc w:val="left"/>
            </w:pPr>
            <w:r>
              <w:t xml:space="preserve">Standard hours per day and work days per person (pending decision D3)</w:t>
            </w:r>
          </w:p>
        </w:tc>
      </w:tr>
      <w:tr>
        <w:tc>
          <w:tcPr/>
          <w:p>
            <w:pPr>
              <w:pStyle w:val="Compact"/>
              <w:jc w:val="left"/>
            </w:pPr>
            <w:r>
              <w:rPr>
                <w:rStyle w:val="VerbatimChar"/>
              </w:rPr>
              <w:t xml:space="preserve">plans</w:t>
            </w:r>
            <w:r>
              <w:t xml:space="preserve">,</w:t>
            </w:r>
            <w:r>
              <w:t xml:space="preserve"> </w:t>
            </w:r>
            <w:r>
              <w:rPr>
                <w:rStyle w:val="VerbatimChar"/>
              </w:rPr>
              <w:t xml:space="preserve">plan_levels</w:t>
            </w:r>
            <w:r>
              <w:t xml:space="preserve">,</w:t>
            </w:r>
            <w:r>
              <w:t xml:space="preserve"> </w:t>
            </w:r>
            <w:r>
              <w:rPr>
                <w:rStyle w:val="VerbatimChar"/>
              </w:rPr>
              <w:t xml:space="preserve">plan_assignments</w:t>
            </w:r>
          </w:p>
        </w:tc>
        <w:tc>
          <w:tcPr/>
          <w:p>
            <w:pPr>
              <w:pStyle w:val="Compact"/>
              <w:jc w:val="left"/>
            </w:pPr>
            <w:r>
              <w:t xml:space="preserve">Plans, levels with days per year, one level per person per plan, effective dates</w:t>
            </w:r>
          </w:p>
        </w:tc>
      </w:tr>
      <w:tr>
        <w:tc>
          <w:tcPr/>
          <w:p>
            <w:pPr>
              <w:pStyle w:val="Compact"/>
              <w:jc w:val="left"/>
            </w:pPr>
            <w:r>
              <w:rPr>
                <w:rStyle w:val="VerbatimChar"/>
              </w:rPr>
              <w:t xml:space="preserve">accrual_ledger</w:t>
            </w:r>
          </w:p>
        </w:tc>
        <w:tc>
          <w:tcPr/>
          <w:p>
            <w:pPr>
              <w:pStyle w:val="Compact"/>
              <w:jc w:val="left"/>
            </w:pPr>
            <w:r>
              <w:t xml:space="preserve">Every credit and debit as a row: grant, accrual, proration, carryover, forfeiture, override, adjustment, booking. Balances are sums, never stored totals, so every number can be explained.</w:t>
            </w:r>
          </w:p>
        </w:tc>
      </w:tr>
      <w:tr>
        <w:tc>
          <w:tcPr/>
          <w:p>
            <w:pPr>
              <w:pStyle w:val="Compact"/>
              <w:jc w:val="left"/>
            </w:pPr>
            <w:r>
              <w:rPr>
                <w:rStyle w:val="VerbatimChar"/>
              </w:rPr>
              <w:t xml:space="preserve">jurisdiction_rules</w:t>
            </w:r>
          </w:p>
        </w:tc>
        <w:tc>
          <w:tcPr/>
          <w:p>
            <w:pPr>
              <w:pStyle w:val="Compact"/>
              <w:jc w:val="left"/>
            </w:pPr>
            <w:r>
              <w:t xml:space="preserve">Versioned, dated statutory rules: minimum entitlement by years of service, forfeiture rule, sick leave minimums and caps, by province, state and city</w:t>
            </w:r>
          </w:p>
        </w:tc>
      </w:tr>
      <w:tr>
        <w:tc>
          <w:tcPr/>
          <w:p>
            <w:pPr>
              <w:pStyle w:val="Compact"/>
              <w:jc w:val="left"/>
            </w:pPr>
            <w:r>
              <w:rPr>
                <w:rStyle w:val="VerbatimChar"/>
              </w:rPr>
              <w:t xml:space="preserve">holidays</w:t>
            </w:r>
          </w:p>
        </w:tc>
        <w:tc>
          <w:tcPr/>
          <w:p>
            <w:pPr>
              <w:pStyle w:val="Compact"/>
              <w:jc w:val="left"/>
            </w:pPr>
            <w:r>
              <w:t xml:space="preserve">Per jurisdiction and per company</w:t>
            </w:r>
          </w:p>
        </w:tc>
      </w:tr>
      <w:tr>
        <w:tc>
          <w:tcPr/>
          <w:p>
            <w:pPr>
              <w:pStyle w:val="Compact"/>
              <w:jc w:val="left"/>
            </w:pPr>
            <w:r>
              <w:rPr>
                <w:rStyle w:val="VerbatimChar"/>
              </w:rPr>
              <w:t xml:space="preserve">requests</w:t>
            </w:r>
            <w:r>
              <w:t xml:space="preserve">,</w:t>
            </w:r>
            <w:r>
              <w:t xml:space="preserve"> </w:t>
            </w:r>
            <w:r>
              <w:rPr>
                <w:rStyle w:val="VerbatimChar"/>
              </w:rPr>
              <w:t xml:space="preserve">request_days</w:t>
            </w:r>
            <w:r>
              <w:t xml:space="preserve">,</w:t>
            </w:r>
            <w:r>
              <w:t xml:space="preserve"> </w:t>
            </w:r>
            <w:r>
              <w:rPr>
                <w:rStyle w:val="VerbatimChar"/>
              </w:rPr>
              <w:t xml:space="preserve">approval_steps</w:t>
            </w:r>
          </w:p>
        </w:tc>
        <w:tc>
          <w:tcPr/>
          <w:p>
            <w:pPr>
              <w:pStyle w:val="Compact"/>
              <w:jc w:val="left"/>
            </w:pPr>
            <w:r>
              <w:t xml:space="preserve">Requests, the working days they cover (with half days), and each approval step</w:t>
            </w:r>
          </w:p>
        </w:tc>
      </w:tr>
      <w:tr>
        <w:tc>
          <w:tcPr/>
          <w:p>
            <w:pPr>
              <w:pStyle w:val="Compact"/>
              <w:jc w:val="left"/>
            </w:pPr>
            <w:r>
              <w:rPr>
                <w:rStyle w:val="VerbatimChar"/>
              </w:rPr>
              <w:t xml:space="preserve">calendar_feeds</w:t>
            </w:r>
          </w:p>
        </w:tc>
        <w:tc>
          <w:tcPr/>
          <w:p>
            <w:pPr>
              <w:pStyle w:val="Compact"/>
              <w:jc w:val="left"/>
            </w:pPr>
            <w:r>
              <w:t xml:space="preserve">Hashed feed tokens per person and team</w:t>
            </w:r>
          </w:p>
        </w:tc>
      </w:tr>
      <w:tr>
        <w:tc>
          <w:tcPr/>
          <w:p>
            <w:pPr>
              <w:pStyle w:val="Compact"/>
              <w:jc w:val="left"/>
            </w:pPr>
            <w:r>
              <w:rPr>
                <w:rStyle w:val="VerbatimChar"/>
              </w:rPr>
              <w:t xml:space="preserve">payroll_exports</w:t>
            </w:r>
            <w:r>
              <w:t xml:space="preserve">,</w:t>
            </w:r>
            <w:r>
              <w:t xml:space="preserve"> </w:t>
            </w:r>
            <w:r>
              <w:rPr>
                <w:rStyle w:val="VerbatimChar"/>
              </w:rPr>
              <w:t xml:space="preserve">payroll_codes</w:t>
            </w:r>
          </w:p>
        </w:tc>
        <w:tc>
          <w:tcPr/>
          <w:p>
            <w:pPr>
              <w:pStyle w:val="Compact"/>
              <w:jc w:val="left"/>
            </w:pPr>
            <w:r>
              <w:t xml:space="preserve">Pay period files and plan to WorkLinks code mapping</w:t>
            </w:r>
          </w:p>
        </w:tc>
      </w:tr>
      <w:tr>
        <w:tc>
          <w:tcPr/>
          <w:p>
            <w:pPr>
              <w:pStyle w:val="Compact"/>
              <w:jc w:val="left"/>
            </w:pPr>
            <w:r>
              <w:rPr>
                <w:rStyle w:val="VerbatimChar"/>
              </w:rPr>
              <w:t xml:space="preserve">notifications_outbox</w:t>
            </w:r>
          </w:p>
        </w:tc>
        <w:tc>
          <w:tcPr/>
          <w:p>
            <w:pPr>
              <w:pStyle w:val="Compact"/>
              <w:jc w:val="left"/>
            </w:pPr>
            <w:r>
              <w:t xml:space="preserve">Emails queued in the same transaction as the change that caused them</w:t>
            </w:r>
          </w:p>
        </w:tc>
      </w:tr>
      <w:tr>
        <w:tc>
          <w:tcPr/>
          <w:p>
            <w:pPr>
              <w:pStyle w:val="Compact"/>
              <w:jc w:val="left"/>
            </w:pPr>
            <w:r>
              <w:rPr>
                <w:rStyle w:val="VerbatimChar"/>
              </w:rPr>
              <w:t xml:space="preserve">jobs</w:t>
            </w:r>
          </w:p>
        </w:tc>
        <w:tc>
          <w:tcPr/>
          <w:p>
            <w:pPr>
              <w:pStyle w:val="Compact"/>
              <w:jc w:val="left"/>
            </w:pPr>
            <w:r>
              <w:t xml:space="preserve">Background job queue (Postgres</w:t>
            </w:r>
            <w:r>
              <w:t xml:space="preserve"> </w:t>
            </w:r>
            <w:r>
              <w:rPr>
                <w:rStyle w:val="VerbatimChar"/>
              </w:rPr>
              <w:t xml:space="preserve">SKIP LOCKED</w:t>
            </w:r>
            <w:r>
              <w:t xml:space="preserve">)</w:t>
            </w:r>
          </w:p>
        </w:tc>
      </w:tr>
    </w:tbl>
    <w:bookmarkEnd w:id="28"/>
    <w:bookmarkEnd w:id="29"/>
    <w:bookmarkStart w:id="30" w:name="request-routing-and-branding"/>
    <w:p>
      <w:pPr>
        <w:pStyle w:val="Heading1"/>
      </w:pPr>
      <w:r>
        <w:t xml:space="preserve">6. Request routing and branding</w:t>
      </w:r>
    </w:p>
    <w:p>
      <w:pPr>
        <w:numPr>
          <w:ilvl w:val="0"/>
          <w:numId w:val="1002"/>
        </w:numPr>
        <w:pStyle w:val="Compact"/>
      </w:pPr>
      <w:r>
        <w:rPr>
          <w:rStyle w:val="VerbatimChar"/>
        </w:rPr>
        <w:t xml:space="preserve">parseHost(host, rootDomain)</w:t>
      </w:r>
      <w:r>
        <w:t xml:space="preserve">: the bare root is the platform console; one subdomain level is a company; any other host is looked up as a custom domain. Look-alike domains (</w:t>
      </w:r>
      <w:r>
        <w:rPr>
          <w:rStyle w:val="VerbatimChar"/>
        </w:rPr>
        <w:t xml:space="preserve">evilaas-timeoff.ca</w:t>
      </w:r>
      <w:r>
        <w:t xml:space="preserve">) are not treated as subdomains.</w:t>
      </w:r>
    </w:p>
    <w:p>
      <w:pPr>
        <w:numPr>
          <w:ilvl w:val="0"/>
          <w:numId w:val="1002"/>
        </w:numPr>
        <w:pStyle w:val="Compact"/>
      </w:pPr>
      <w:r>
        <w:t xml:space="preserve">The company is resolved through the security-definer function</w:t>
      </w:r>
      <w:r>
        <w:t xml:space="preserve"> </w:t>
      </w:r>
      <w:r>
        <w:rPr>
          <w:rStyle w:val="VerbatimChar"/>
        </w:rPr>
        <w:t xml:space="preserve">resolve_tenant_by_host</w:t>
      </w:r>
      <w:r>
        <w:t xml:space="preserve">, which returns only id, short label, brand colour and country for non-suspended companies.</w:t>
      </w:r>
    </w:p>
    <w:p>
      <w:pPr>
        <w:numPr>
          <w:ilvl w:val="0"/>
          <w:numId w:val="1002"/>
        </w:numPr>
        <w:pStyle w:val="Compact"/>
      </w:pPr>
      <w:r>
        <w:t xml:space="preserve">The host is read from</w:t>
      </w:r>
      <w:r>
        <w:t xml:space="preserve"> </w:t>
      </w:r>
      <w:r>
        <w:rPr>
          <w:rStyle w:val="VerbatimChar"/>
        </w:rPr>
        <w:t xml:space="preserve">X-Forwarded-Host</w:t>
      </w:r>
      <w:r>
        <w:t xml:space="preserve"> </w:t>
      </w:r>
      <w:r>
        <w:t xml:space="preserve">first. Next.js renders a server action’s redirect with</w:t>
      </w:r>
      <w:r>
        <w:t xml:space="preserve"> </w:t>
      </w:r>
      <w:r>
        <w:rPr>
          <w:rStyle w:val="VerbatimChar"/>
        </w:rPr>
        <w:t xml:space="preserve">Host</w:t>
      </w:r>
      <w:r>
        <w:t xml:space="preserve"> </w:t>
      </w:r>
      <w:r>
        <w:t xml:space="preserve">set to its own address, and in production the load balancer sets the header. A forged value only selects which company’s records are checked; it must match a company, and sessions are looked up inside that company, so it cannot reach another company’s data. The load balancer must overwrite, not append, client-supplied values.</w:t>
      </w:r>
    </w:p>
    <w:p>
      <w:pPr>
        <w:numPr>
          <w:ilvl w:val="0"/>
          <w:numId w:val="1002"/>
        </w:numPr>
        <w:pStyle w:val="Compact"/>
      </w:pPr>
      <w:r>
        <w:t xml:space="preserve">Brand colour drives CSS variables; button text colour is chosen by contrast (WCAG formula).</w:t>
      </w:r>
    </w:p>
    <w:bookmarkEnd w:id="30"/>
    <w:bookmarkStart w:id="35" w:name="sign-in-and-sessions"/>
    <w:p>
      <w:pPr>
        <w:pStyle w:val="Heading1"/>
      </w:pPr>
      <w:r>
        <w:t xml:space="preserve">7. Sign-in and sessions</w:t>
      </w:r>
    </w:p>
    <w:bookmarkStart w:id="31" w:name="email-link-built"/>
    <w:p>
      <w:pPr>
        <w:pStyle w:val="Heading2"/>
      </w:pPr>
      <w:r>
        <w:t xml:space="preserve">7.1 Email link (built)</w:t>
      </w:r>
    </w:p>
    <w:p>
      <w:pPr>
        <w:numPr>
          <w:ilvl w:val="0"/>
          <w:numId w:val="1003"/>
        </w:numPr>
        <w:pStyle w:val="Compact"/>
      </w:pPr>
      <w:r>
        <w:t xml:space="preserve">The person enters an email on their company’s address. Rate limits: 5 per address, 30 per network address per 15 minutes.</w:t>
      </w:r>
    </w:p>
    <w:p>
      <w:pPr>
        <w:numPr>
          <w:ilvl w:val="0"/>
          <w:numId w:val="1003"/>
        </w:numPr>
        <w:pStyle w:val="Compact"/>
      </w:pPr>
      <w:r>
        <w:t xml:space="preserve">If the address belongs to an active person in that company, a 256-bit random token is stored as a SHA-256 hash with a 15-minute expiry and emailed. The answer is identical either way.</w:t>
      </w:r>
    </w:p>
    <w:p>
      <w:pPr>
        <w:numPr>
          <w:ilvl w:val="0"/>
          <w:numId w:val="1003"/>
        </w:numPr>
        <w:pStyle w:val="Compact"/>
      </w:pPr>
      <w:r>
        <w:t xml:space="preserve">The link opens a Continue page; the POST redeems the token once and creates a session.</w:t>
      </w:r>
    </w:p>
    <w:bookmarkEnd w:id="31"/>
    <w:bookmarkStart w:id="32" w:name="sessions-built"/>
    <w:p>
      <w:pPr>
        <w:pStyle w:val="Heading2"/>
      </w:pPr>
      <w:r>
        <w:t xml:space="preserve">7.2 Sessions (built)</w:t>
      </w:r>
    </w:p>
    <w:p>
      <w:pPr>
        <w:pStyle w:val="FirstParagraph"/>
      </w:pPr>
      <w:r>
        <w:t xml:space="preserve">256-bit token, stored hashed, 12-hour expiry, cookie</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in production, host-only (no</w:t>
      </w:r>
      <w:r>
        <w:t xml:space="preserve"> </w:t>
      </w:r>
      <w:r>
        <w:rPr>
          <w:rStyle w:val="VerbatimChar"/>
        </w:rPr>
        <w:t xml:space="preserve">Domain</w:t>
      </w:r>
      <w:r>
        <w:t xml:space="preserve"> </w:t>
      </w:r>
      <w:r>
        <w:t xml:space="preserve">attribute) so a session never travels to another company’s address. Sign-out revokes the row. Server actions get Next.js’s origin check against cross-site requests.</w:t>
      </w:r>
    </w:p>
    <w:bookmarkEnd w:id="32"/>
    <w:bookmarkStart w:id="33" w:name="two-step-sign-in-built"/>
    <w:p>
      <w:pPr>
        <w:pStyle w:val="Heading2"/>
      </w:pPr>
      <w:r>
        <w:t xml:space="preserve">7.3 Two-step sign-in (built)</w:t>
      </w:r>
    </w:p>
    <w:p>
      <w:pPr>
        <w:pStyle w:val="FirstParagraph"/>
      </w:pPr>
      <w:r>
        <w:t xml:space="preserve">RFC 6238 codes (SHA-1, 6 digits, 30 seconds, one step of drift either way), verified against the RFC test vectors. The key is encrypted with AES-256-GCM using</w:t>
      </w:r>
      <w:r>
        <w:t xml:space="preserve"> </w:t>
      </w:r>
      <w:r>
        <w:rPr>
          <w:rStyle w:val="VerbatimChar"/>
        </w:rPr>
        <w:t xml:space="preserve">MFA_ENCRYPTION_KEY</w:t>
      </w:r>
      <w:r>
        <w:t xml:space="preserve"> </w:t>
      </w:r>
      <w:r>
        <w:t xml:space="preserve">with the person’s id as associated data. The last used step is stored so a code works once; recovery codes are hashed and single use; 5 wrong codes per session lock it for 15 minutes. Required for HR admins and the platform owner; checked on every protected page.</w:t>
      </w:r>
    </w:p>
    <w:bookmarkEnd w:id="33"/>
    <w:bookmarkStart w:id="34" w:name="google-and-microsoft-365-next"/>
    <w:p>
      <w:pPr>
        <w:pStyle w:val="Heading2"/>
      </w:pPr>
      <w:r>
        <w:t xml:space="preserve">7.4 Google and Microsoft 365 (next)</w:t>
      </w:r>
    </w:p>
    <w:p>
      <w:pPr>
        <w:numPr>
          <w:ilvl w:val="0"/>
          <w:numId w:val="1004"/>
        </w:numPr>
        <w:pStyle w:val="Compact"/>
      </w:pPr>
      <w:r>
        <w:t xml:space="preserve">OpenID Connect authorization code flow with PKCE, state and nonce.</w:t>
      </w:r>
    </w:p>
    <w:p>
      <w:pPr>
        <w:numPr>
          <w:ilvl w:val="0"/>
          <w:numId w:val="1004"/>
        </w:numPr>
        <w:pStyle w:val="Compact"/>
      </w:pPr>
      <w:r>
        <w:t xml:space="preserve">Google rejects wildcard return addresses, so all companies share one fixed return address on the root domain:</w:t>
      </w:r>
      <w:r>
        <w:t xml:space="preserve"> </w:t>
      </w:r>
      <w:r>
        <w:rPr>
          <w:rStyle w:val="VerbatimChar"/>
        </w:rPr>
        <w:t xml:space="preserve">https://&lt;root&gt;/auth/&lt;provider&gt;/callback</w:t>
      </w:r>
      <w:r>
        <w:t xml:space="preserve">. The start request carries the company in signed state. After the ID token is verified, the app creates a 60-second single-use hand-off code and redirects to the company’s own address, which exchanges it for a session cookie on that host.</w:t>
      </w:r>
    </w:p>
    <w:p>
      <w:pPr>
        <w:numPr>
          <w:ilvl w:val="0"/>
          <w:numId w:val="1004"/>
        </w:numPr>
        <w:pStyle w:val="Compact"/>
      </w:pPr>
      <w:r>
        <w:t xml:space="preserve">Microsoft uses the multi-tenant (</w:t>
      </w:r>
      <w:r>
        <w:rPr>
          <w:rStyle w:val="VerbatimChar"/>
        </w:rPr>
        <w:t xml:space="preserve">organizations</w:t>
      </w:r>
      <w:r>
        <w:t xml:space="preserve">) endpoint; the issuer is checked against the token’s tenant id. Optionally each company can restrict sign-in to its own Google Workspace domain or Microsoft tenant id.</w:t>
      </w:r>
    </w:p>
    <w:p>
      <w:pPr>
        <w:numPr>
          <w:ilvl w:val="0"/>
          <w:numId w:val="1004"/>
        </w:numPr>
        <w:pStyle w:val="Compact"/>
      </w:pPr>
      <w:r>
        <w:t xml:space="preserve">The email in the token must be verified and must match an active person in that company. No accounts are created from sign-in.</w:t>
      </w:r>
    </w:p>
    <w:p>
      <w:pPr>
        <w:numPr>
          <w:ilvl w:val="0"/>
          <w:numId w:val="1004"/>
        </w:numPr>
        <w:pStyle w:val="Compact"/>
      </w:pPr>
      <w:r>
        <w:t xml:space="preserve">Secrets:</w:t>
      </w:r>
      <w:r>
        <w:t xml:space="preserve"> </w:t>
      </w:r>
      <w:r>
        <w:rPr>
          <w:rStyle w:val="VerbatimChar"/>
        </w:rPr>
        <w:t xml:space="preserve">GOOGLE_CLIENT_ID</w:t>
      </w:r>
      <w:r>
        <w:t xml:space="preserve">,</w:t>
      </w:r>
      <w:r>
        <w:t xml:space="preserve"> </w:t>
      </w:r>
      <w:r>
        <w:rPr>
          <w:rStyle w:val="VerbatimChar"/>
        </w:rPr>
        <w:t xml:space="preserve">GOOGLE_CLIENT_SECRET</w:t>
      </w:r>
      <w:r>
        <w:t xml:space="preserve">,</w:t>
      </w:r>
      <w:r>
        <w:t xml:space="preserve"> </w:t>
      </w:r>
      <w:r>
        <w:rPr>
          <w:rStyle w:val="VerbatimChar"/>
        </w:rPr>
        <w:t xml:space="preserve">MICROSOFT_CLIENT_ID</w:t>
      </w:r>
      <w:r>
        <w:t xml:space="preserve">,</w:t>
      </w:r>
      <w:r>
        <w:t xml:space="preserve"> </w:t>
      </w:r>
      <w:r>
        <w:rPr>
          <w:rStyle w:val="VerbatimChar"/>
        </w:rPr>
        <w:t xml:space="preserve">MICROSOFT_CLIENT_SECRET</w:t>
      </w:r>
      <w:r>
        <w:t xml:space="preserve"> </w:t>
      </w:r>
      <w:r>
        <w:t xml:space="preserve">in the secret store. Microsoft secrets expire within 24 months; a reminder job warns 30 days ahead.</w:t>
      </w:r>
    </w:p>
    <w:bookmarkEnd w:id="34"/>
    <w:bookmarkEnd w:id="35"/>
    <w:bookmarkStart w:id="36" w:name="accrual-engine-fr-30-to-fr-42"/>
    <w:p>
      <w:pPr>
        <w:pStyle w:val="Heading1"/>
      </w:pPr>
      <w:r>
        <w:t xml:space="preserve">8. Accrual engine (FR-30 to FR-42)</w:t>
      </w:r>
    </w:p>
    <w:p>
      <w:pPr>
        <w:numPr>
          <w:ilvl w:val="0"/>
          <w:numId w:val="1005"/>
        </w:numPr>
        <w:pStyle w:val="Compact"/>
      </w:pPr>
      <w:r>
        <w:t xml:space="preserve">Ledger-based: every balance movement is a dated row in</w:t>
      </w:r>
      <w:r>
        <w:t xml:space="preserve"> </w:t>
      </w:r>
      <w:r>
        <w:rPr>
          <w:rStyle w:val="VerbatimChar"/>
        </w:rPr>
        <w:t xml:space="preserve">accrual_ledger</w:t>
      </w:r>
      <w:r>
        <w:t xml:space="preserve">. A balance at any date is the sum of rows up to that date plus projected future accruals. Reports and the request form use the same function.</w:t>
      </w:r>
    </w:p>
    <w:p>
      <w:pPr>
        <w:numPr>
          <w:ilvl w:val="0"/>
          <w:numId w:val="1005"/>
        </w:numPr>
        <w:pStyle w:val="Compact"/>
      </w:pPr>
      <w:r>
        <w:t xml:space="preserve">Accrual job runs nightly per company at 01:00 company time and is idempotent (each row has a unique key per person, plan, period and kind), so reruns never double-credit.</w:t>
      </w:r>
    </w:p>
    <w:p>
      <w:pPr>
        <w:numPr>
          <w:ilvl w:val="0"/>
          <w:numId w:val="1005"/>
        </w:numPr>
        <w:pStyle w:val="Compact"/>
      </w:pPr>
      <w:r>
        <w:t xml:space="preserve">Proration: remaining months including the start month if the start date is on or before the 15th; rounded per plan (default nearest half day; hours plans to 0.25 h).</w:t>
      </w:r>
    </w:p>
    <w:p>
      <w:pPr>
        <w:numPr>
          <w:ilvl w:val="0"/>
          <w:numId w:val="1005"/>
        </w:numPr>
        <w:pStyle w:val="Compact"/>
      </w:pPr>
      <w:r>
        <w:t xml:space="preserve">Hours plans: salaried staff accrue on their standard week (default 40 hours); requests deduct standard hours per day per day booked.</w:t>
      </w:r>
    </w:p>
    <w:p>
      <w:pPr>
        <w:numPr>
          <w:ilvl w:val="0"/>
          <w:numId w:val="1005"/>
        </w:numPr>
        <w:pStyle w:val="Compact"/>
      </w:pPr>
      <w:r>
        <w:t xml:space="preserve">Year end: a job 30 days ahead builds the preview; at midnight on the plan year boundary it applies the plan rule, then jurisdiction overrides (</w:t>
      </w:r>
      <w:r>
        <w:rPr>
          <w:rStyle w:val="VerbatimChar"/>
        </w:rPr>
        <w:t xml:space="preserve">jurisdiction_rules</w:t>
      </w:r>
      <w:r>
        <w:t xml:space="preserve"> </w:t>
      </w:r>
      <w:r>
        <w:t xml:space="preserve">effective at that date), writing each step as ledger rows with the rule id that caused it.</w:t>
      </w:r>
    </w:p>
    <w:p>
      <w:pPr>
        <w:numPr>
          <w:ilvl w:val="0"/>
          <w:numId w:val="1005"/>
        </w:numPr>
        <w:pStyle w:val="Compact"/>
      </w:pPr>
      <w:r>
        <w:t xml:space="preserve">Statutory checks are pure functions over the rules table: on plan save, nightly for anniversaries within 90 days, and in the compliance report.</w:t>
      </w:r>
    </w:p>
    <w:p>
      <w:pPr>
        <w:numPr>
          <w:ilvl w:val="0"/>
          <w:numId w:val="1005"/>
        </w:numPr>
        <w:pStyle w:val="Compact"/>
      </w:pPr>
      <w:r>
        <w:t xml:space="preserve">Working day count: dates between first and last day, minus weekends (from the person’s work schedule), minus holidays for the person’s jurisdiction and company, with half days on the first and last day.</w:t>
      </w:r>
    </w:p>
    <w:bookmarkEnd w:id="36"/>
    <w:bookmarkStart w:id="37" w:name="approval-workflow-fr-50-to-fr-57"/>
    <w:p>
      <w:pPr>
        <w:pStyle w:val="Heading1"/>
      </w:pPr>
      <w:r>
        <w:t xml:space="preserve">9. Approval workflow (FR-50 to FR-57)</w:t>
      </w:r>
    </w:p>
    <w:p>
      <w:pPr>
        <w:numPr>
          <w:ilvl w:val="0"/>
          <w:numId w:val="1006"/>
        </w:numPr>
        <w:pStyle w:val="Compact"/>
      </w:pPr>
      <w:r>
        <w:t xml:space="preserve">On submit or change, the server computes the run: the request plus the person’s live bookings (any plan, approved or pending) that touch it with no working day between. If the run exceeds the company threshold and the plan has a second step, steps are primary manager then next-level manager, falling back to HR admin.</w:t>
      </w:r>
    </w:p>
    <w:p>
      <w:pPr>
        <w:numPr>
          <w:ilvl w:val="0"/>
          <w:numId w:val="1006"/>
        </w:numPr>
        <w:pStyle w:val="Compact"/>
      </w:pPr>
      <w:r>
        <w:t xml:space="preserve">Steps are rows in</w:t>
      </w:r>
      <w:r>
        <w:t xml:space="preserve"> </w:t>
      </w:r>
      <w:r>
        <w:rPr>
          <w:rStyle w:val="VerbatimChar"/>
        </w:rPr>
        <w:t xml:space="preserve">approval_steps</w:t>
      </w:r>
      <w:r>
        <w:t xml:space="preserve"> </w:t>
      </w:r>
      <w:r>
        <w:t xml:space="preserve">with status waiting, pending, approved or declined. Only the current step’s approver (or an HR admin, logged as override) can decide.</w:t>
      </w:r>
    </w:p>
    <w:p>
      <w:pPr>
        <w:numPr>
          <w:ilvl w:val="0"/>
          <w:numId w:val="1006"/>
        </w:numPr>
        <w:pStyle w:val="Compact"/>
      </w:pPr>
      <w:r>
        <w:t xml:space="preserve">Change requests keep the original booking in force until approved; cancellation of approved future time follows the plan’s setting.</w:t>
      </w:r>
    </w:p>
    <w:p>
      <w:pPr>
        <w:numPr>
          <w:ilvl w:val="0"/>
          <w:numId w:val="1006"/>
        </w:numPr>
        <w:pStyle w:val="Compact"/>
      </w:pPr>
      <w:r>
        <w:t xml:space="preserve">All writes for one decision (step, request status, ledger booking, notification outbox, audit entry) happen in one transaction.</w:t>
      </w:r>
    </w:p>
    <w:p>
      <w:pPr>
        <w:numPr>
          <w:ilvl w:val="0"/>
          <w:numId w:val="1006"/>
        </w:numPr>
        <w:pStyle w:val="Compact"/>
      </w:pPr>
      <w:r>
        <w:t xml:space="preserve">Reminder job: 2 business days pending sends a reminder; 5 escalates to HR (configurable).</w:t>
      </w:r>
    </w:p>
    <w:bookmarkEnd w:id="37"/>
    <w:bookmarkStart w:id="38" w:name="calendars"/>
    <w:p>
      <w:pPr>
        <w:pStyle w:val="Heading1"/>
      </w:pPr>
      <w:r>
        <w:t xml:space="preserve">10. Calendars</w:t>
      </w:r>
    </w:p>
    <w:p>
      <w:pPr>
        <w:numPr>
          <w:ilvl w:val="0"/>
          <w:numId w:val="1007"/>
        </w:numPr>
        <w:pStyle w:val="Compact"/>
      </w:pPr>
      <w:r>
        <w:t xml:space="preserve">ICS feeds (v1): one hashed token per person and per team, resettable. Events carry name, dates, half-day marker and status (Busy, Free, Out of office). Private plans show</w:t>
      </w:r>
      <w:r>
        <w:t xml:space="preserve"> </w:t>
      </w:r>
      <w:r>
        <w:t xml:space="preserve">“</w:t>
      </w:r>
      <w:r>
        <w:t xml:space="preserve">Out of office</w:t>
      </w:r>
      <w:r>
        <w:t xml:space="preserve">”</w:t>
      </w:r>
      <w:r>
        <w:t xml:space="preserve">. Feeds set</w:t>
      </w:r>
      <w:r>
        <w:t xml:space="preserve"> </w:t>
      </w:r>
      <w:r>
        <w:rPr>
          <w:rStyle w:val="VerbatimChar"/>
        </w:rPr>
        <w:t xml:space="preserve">Cache-Control: private</w:t>
      </w:r>
      <w:r>
        <w:t xml:space="preserve"> </w:t>
      </w:r>
      <w:r>
        <w:t xml:space="preserve">and an ETag; refresh timing is controlled by the calendar app.</w:t>
      </w:r>
    </w:p>
    <w:p>
      <w:pPr>
        <w:numPr>
          <w:ilvl w:val="0"/>
          <w:numId w:val="1007"/>
        </w:numPr>
        <w:pStyle w:val="Compact"/>
      </w:pPr>
      <w:r>
        <w:t xml:space="preserve">Direct push (v1.1): per-person OAuth to Google Calendar API and Microsoft Graph; events written from the outbox within seconds; tokens encrypted like two-step keys.</w:t>
      </w:r>
    </w:p>
    <w:bookmarkEnd w:id="38"/>
    <w:bookmarkStart w:id="39" w:name="integrations"/>
    <w:p>
      <w:pPr>
        <w:pStyle w:val="Heading1"/>
      </w:pPr>
      <w:r>
        <w:t xml:space="preserve">11. Integrations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2565"/>
        <w:gridCol w:w="5354"/>
      </w:tblGrid>
      <w:tr>
        <w:trPr>
          <w:tblHeader w:val="true"/>
        </w:trPr>
        <w:tc>
          <w:tcPr>
            <w:shd w:val="clear" w:fill="E8EEF6"/>
          </w:tcPr>
          <w:p>
            <w:pPr>
              <w:pStyle w:val="Compact"/>
              <w:jc w:val="left"/>
            </w:pPr>
            <w:r>
              <w:rPr>
                <w:b/>
              </w:rPr>
              <w:t xml:space="preserve">Integration</w:t>
            </w:r>
          </w:p>
        </w:tc>
        <w:tc>
          <w:tcPr>
            <w:shd w:val="clear" w:fill="E8EEF6"/>
          </w:tcPr>
          <w:p>
            <w:pPr>
              <w:pStyle w:val="Compact"/>
              <w:jc w:val="left"/>
            </w:pPr>
            <w:r>
              <w:rPr>
                <w:b/>
              </w:rPr>
              <w:t xml:space="preserve">Design</w:t>
            </w:r>
          </w:p>
        </w:tc>
      </w:tr>
      <w:tr>
        <w:tc>
          <w:tcPr/>
          <w:p>
            <w:pPr>
              <w:pStyle w:val="Compact"/>
              <w:jc w:val="left"/>
            </w:pPr>
            <w:r>
              <w:t xml:space="preserve">WorkLinks (v1)</w:t>
            </w:r>
          </w:p>
        </w:tc>
        <w:tc>
          <w:tcPr/>
          <w:p>
            <w:pPr>
              <w:pStyle w:val="Compact"/>
              <w:jc w:val="left"/>
            </w:pPr>
            <w:r>
              <w:t xml:space="preserve">Pay period file per company in WorkLinks’ import layout (to be confirmed, D5). Approved absences by payroll code; corrections for periods already sent are separate rows. Download or SFTP.</w:t>
            </w:r>
          </w:p>
        </w:tc>
      </w:tr>
      <w:tr>
        <w:tc>
          <w:tcPr/>
          <w:p>
            <w:pPr>
              <w:pStyle w:val="Compact"/>
              <w:jc w:val="left"/>
            </w:pPr>
            <w:r>
              <w:t xml:space="preserve">WorkLinks API (blocked)</w:t>
            </w:r>
          </w:p>
        </w:tc>
        <w:tc>
          <w:tcPr/>
          <w:p>
            <w:pPr>
              <w:pStyle w:val="Compact"/>
              <w:jc w:val="left"/>
            </w:pPr>
            <w:r>
              <w:t xml:space="preserve">Same mapping and outbox; transport swapped once documentation exists.</w:t>
            </w:r>
          </w:p>
        </w:tc>
      </w:tr>
      <w:tr>
        <w:tc>
          <w:tcPr/>
          <w:p>
            <w:pPr>
              <w:pStyle w:val="Compact"/>
              <w:jc w:val="left"/>
            </w:pPr>
            <w:r>
              <w:t xml:space="preserve">Jira (v1.1)</w:t>
            </w:r>
          </w:p>
        </w:tc>
        <w:tc>
          <w:tcPr/>
          <w:p>
            <w:pPr>
              <w:pStyle w:val="Compact"/>
              <w:jc w:val="left"/>
            </w:pPr>
            <w:r>
              <w:t xml:space="preserve">Per-company OAuth 2.0 (3LO) to the company’s Jira Cloud site, least-privilege scopes. Absence issue per approved absence with dates and original estimate; updated or cancelled from the outbox.</w:t>
            </w:r>
          </w:p>
        </w:tc>
      </w:tr>
      <w:tr>
        <w:tc>
          <w:tcPr/>
          <w:p>
            <w:pPr>
              <w:pStyle w:val="Compact"/>
              <w:jc w:val="left"/>
            </w:pPr>
            <w:r>
              <w:t xml:space="preserve">Availability API (v1.1)</w:t>
            </w:r>
          </w:p>
        </w:tc>
        <w:tc>
          <w:tcPr/>
          <w:p>
            <w:pPr>
              <w:pStyle w:val="Compact"/>
              <w:jc w:val="left"/>
            </w:pPr>
            <w:r>
              <w:rPr>
                <w:rStyle w:val="VerbatimChar"/>
              </w:rPr>
              <w:t xml:space="preserve">GET /api/v1/availability?email&amp;from&amp;to</w:t>
            </w:r>
            <w:r>
              <w:t xml:space="preserve"> </w:t>
            </w:r>
            <w:r>
              <w:t xml:space="preserve">returns per-day out or available with half days. Per-company API keys (hashed, scoped, rotatable, rate limited, optional IP allow list). Webhooks signed with HMAC-SHA256 and a timestamp.</w:t>
            </w:r>
          </w:p>
        </w:tc>
      </w:tr>
      <w:tr>
        <w:tc>
          <w:tcPr/>
          <w:p>
            <w:pPr>
              <w:pStyle w:val="Compact"/>
              <w:jc w:val="left"/>
            </w:pPr>
            <w:r>
              <w:t xml:space="preserve">MCP server (backlog)</w:t>
            </w:r>
          </w:p>
        </w:tc>
        <w:tc>
          <w:tcPr/>
          <w:p>
            <w:pPr>
              <w:pStyle w:val="Compact"/>
              <w:jc w:val="left"/>
            </w:pPr>
            <w:r>
              <w:t xml:space="preserve">Tools for balances, requests, who’s out, availability, request and approve; OAuth per person; same authorisation and privacy code as the web app.</w:t>
            </w:r>
          </w:p>
        </w:tc>
      </w:tr>
    </w:tbl>
    <w:bookmarkEnd w:id="39"/>
    <w:bookmarkStart w:id="40" w:name="reports-and-exports"/>
    <w:p>
      <w:pPr>
        <w:pStyle w:val="Heading1"/>
      </w:pPr>
      <w:r>
        <w:t xml:space="preserve">12. Reports and exports</w:t>
      </w:r>
    </w:p>
    <w:p>
      <w:pPr>
        <w:numPr>
          <w:ilvl w:val="0"/>
          <w:numId w:val="1008"/>
        </w:numPr>
        <w:pStyle w:val="Compact"/>
      </w:pPr>
      <w:r>
        <w:t xml:space="preserve">Server-side queries over the ledger and requests, always inside</w:t>
      </w:r>
      <w:r>
        <w:t xml:space="preserve"> </w:t>
      </w:r>
      <w:r>
        <w:rPr>
          <w:rStyle w:val="VerbatimChar"/>
        </w:rPr>
        <w:t xml:space="preserve">withTenant</w:t>
      </w:r>
      <w:r>
        <w:t xml:space="preserve">; HR admin only.</w:t>
      </w:r>
    </w:p>
    <w:p>
      <w:pPr>
        <w:numPr>
          <w:ilvl w:val="0"/>
          <w:numId w:val="1008"/>
        </w:numPr>
        <w:pStyle w:val="Compact"/>
      </w:pPr>
      <w:r>
        <w:t xml:space="preserve">XLSX via a streaming writer with the run label in the first rows, frozen header, auto-filter, number formats with units. CSV in UTF-8 with BOM for Excel.</w:t>
      </w:r>
    </w:p>
    <w:p>
      <w:pPr>
        <w:numPr>
          <w:ilvl w:val="0"/>
          <w:numId w:val="1008"/>
        </w:numPr>
        <w:pStyle w:val="Compact"/>
      </w:pPr>
      <w:r>
        <w:t xml:space="preserve">Every export writes an audit entry with filters used.</w:t>
      </w:r>
    </w:p>
    <w:bookmarkEnd w:id="40"/>
    <w:bookmarkStart w:id="41" w:name="email"/>
    <w:p>
      <w:pPr>
        <w:pStyle w:val="Heading1"/>
      </w:pPr>
      <w:r>
        <w:t xml:space="preserve">13. Email</w:t>
      </w:r>
    </w:p>
    <w:p>
      <w:pPr>
        <w:numPr>
          <w:ilvl w:val="0"/>
          <w:numId w:val="1009"/>
        </w:numPr>
        <w:pStyle w:val="Compact"/>
      </w:pPr>
      <w:r>
        <w:t xml:space="preserve">Development: emails print in the terminal and go to an in-memory outbox for tests.</w:t>
      </w:r>
    </w:p>
    <w:p>
      <w:pPr>
        <w:numPr>
          <w:ilvl w:val="0"/>
          <w:numId w:val="1009"/>
        </w:numPr>
        <w:pStyle w:val="Compact"/>
      </w:pPr>
      <w:r>
        <w:t xml:space="preserve">Production: Amazon SES in Canada (Central), sending domain with SPF, DKIM and DMARC. Emails are queued in</w:t>
      </w:r>
      <w:r>
        <w:t xml:space="preserve"> </w:t>
      </w:r>
      <w:r>
        <w:rPr>
          <w:rStyle w:val="VerbatimChar"/>
        </w:rPr>
        <w:t xml:space="preserve">notifications_outbox</w:t>
      </w:r>
      <w:r>
        <w:t xml:space="preserve"> </w:t>
      </w:r>
      <w:r>
        <w:t xml:space="preserve">in the same transaction as the change and sent by a job with retries.</w:t>
      </w:r>
    </w:p>
    <w:p>
      <w:pPr>
        <w:numPr>
          <w:ilvl w:val="0"/>
          <w:numId w:val="1009"/>
        </w:numPr>
        <w:pStyle w:val="Compact"/>
      </w:pPr>
      <w:r>
        <w:t xml:space="preserve">Subjects start with the company short label. Bodies avoid private plan names except to the person, their approvers and HR.</w:t>
      </w:r>
    </w:p>
    <w:bookmarkEnd w:id="41"/>
    <w:bookmarkStart w:id="42" w:name="security-controls-nfr-04"/>
    <w:p>
      <w:pPr>
        <w:pStyle w:val="Heading1"/>
      </w:pPr>
      <w:r>
        <w:t xml:space="preserve">14. Security controls (NFR-04)</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3960"/>
        <w:gridCol w:w="3960"/>
      </w:tblGrid>
      <w:tr>
        <w:trPr>
          <w:tblHeader w:val="true"/>
        </w:trPr>
        <w:tc>
          <w:tcPr>
            <w:shd w:val="clear" w:fill="E8EEF6"/>
          </w:tcPr>
          <w:p>
            <w:pPr>
              <w:pStyle w:val="Compact"/>
              <w:jc w:val="left"/>
            </w:pPr>
            <w:r>
              <w:rPr>
                <w:b/>
              </w:rPr>
              <w:t xml:space="preserve">Control</w:t>
            </w:r>
          </w:p>
        </w:tc>
        <w:tc>
          <w:tcPr>
            <w:shd w:val="clear" w:fill="E8EEF6"/>
          </w:tcPr>
          <w:p>
            <w:pPr>
              <w:pStyle w:val="Compact"/>
              <w:jc w:val="left"/>
            </w:pPr>
            <w:r>
              <w:rPr>
                <w:b/>
              </w:rPr>
              <w:t xml:space="preserve">Status</w:t>
            </w:r>
          </w:p>
        </w:tc>
      </w:tr>
      <w:tr>
        <w:tc>
          <w:tcPr/>
          <w:p>
            <w:pPr>
              <w:pStyle w:val="Compact"/>
              <w:jc w:val="left"/>
            </w:pPr>
            <w:r>
              <w:t xml:space="preserve">Separation by database roles and forced row-level security, with guard test</w:t>
            </w:r>
          </w:p>
        </w:tc>
        <w:tc>
          <w:tcPr/>
          <w:p>
            <w:pPr>
              <w:pStyle w:val="Compact"/>
              <w:jc w:val="left"/>
            </w:pPr>
            <w:r>
              <w:t xml:space="preserve">Built</w:t>
            </w:r>
          </w:p>
        </w:tc>
      </w:tr>
      <w:tr>
        <w:tc>
          <w:tcPr/>
          <w:p>
            <w:pPr>
              <w:pStyle w:val="Compact"/>
              <w:jc w:val="left"/>
            </w:pPr>
            <w:r>
              <w:t xml:space="preserve">Tokens and recovery codes stored as SHA-256 hashes; two-step keys AES-256-GCM</w:t>
            </w:r>
          </w:p>
        </w:tc>
        <w:tc>
          <w:tcPr/>
          <w:p>
            <w:pPr>
              <w:pStyle w:val="Compact"/>
              <w:jc w:val="left"/>
            </w:pPr>
            <w:r>
              <w:t xml:space="preserve">Built</w:t>
            </w:r>
          </w:p>
        </w:tc>
      </w:tr>
      <w:tr>
        <w:tc>
          <w:tcPr/>
          <w:p>
            <w:pPr>
              <w:pStyle w:val="Compact"/>
              <w:jc w:val="left"/>
            </w:pPr>
            <w:r>
              <w:t xml:space="preserve">Host-only HttpOnly cookies; origin-checked server actions</w:t>
            </w:r>
          </w:p>
        </w:tc>
        <w:tc>
          <w:tcPr/>
          <w:p>
            <w:pPr>
              <w:pStyle w:val="Compact"/>
              <w:jc w:val="left"/>
            </w:pPr>
            <w:r>
              <w:t xml:space="preserve">Built</w:t>
            </w:r>
          </w:p>
        </w:tc>
      </w:tr>
      <w:tr>
        <w:tc>
          <w:tcPr/>
          <w:p>
            <w:pPr>
              <w:pStyle w:val="Compact"/>
              <w:jc w:val="left"/>
            </w:pPr>
            <w:r>
              <w:t xml:space="preserve">Rate limits on sign-in links and codes</w:t>
            </w:r>
          </w:p>
        </w:tc>
        <w:tc>
          <w:tcPr/>
          <w:p>
            <w:pPr>
              <w:pStyle w:val="Compact"/>
              <w:jc w:val="left"/>
            </w:pPr>
            <w:r>
              <w:t xml:space="preserve">Built (in memory; see 19)</w:t>
            </w:r>
          </w:p>
        </w:tc>
      </w:tr>
      <w:tr>
        <w:tc>
          <w:tcPr/>
          <w:p>
            <w:pPr>
              <w:pStyle w:val="Compact"/>
              <w:jc w:val="left"/>
            </w:pPr>
            <w:r>
              <w:t xml:space="preserve">Security headers: nosniff, frame deny, strict referrer, permissions policy</w:t>
            </w:r>
          </w:p>
        </w:tc>
        <w:tc>
          <w:tcPr/>
          <w:p>
            <w:pPr>
              <w:pStyle w:val="Compact"/>
              <w:jc w:val="left"/>
            </w:pPr>
            <w:r>
              <w:t xml:space="preserve">Built</w:t>
            </w:r>
          </w:p>
        </w:tc>
      </w:tr>
      <w:tr>
        <w:tc>
          <w:tcPr/>
          <w:p>
            <w:pPr>
              <w:pStyle w:val="Compact"/>
              <w:jc w:val="left"/>
            </w:pPr>
            <w:r>
              <w:t xml:space="preserve">Content Security Policy with nonces</w:t>
            </w:r>
          </w:p>
        </w:tc>
        <w:tc>
          <w:tcPr/>
          <w:p>
            <w:pPr>
              <w:pStyle w:val="Compact"/>
              <w:jc w:val="left"/>
            </w:pPr>
            <w:r>
              <w:t xml:space="preserve">Planned v1</w:t>
            </w:r>
          </w:p>
        </w:tc>
      </w:tr>
      <w:tr>
        <w:tc>
          <w:tcPr/>
          <w:p>
            <w:pPr>
              <w:pStyle w:val="Compact"/>
              <w:jc w:val="left"/>
            </w:pPr>
            <w:r>
              <w:t xml:space="preserve">Dependency audit on every pull request</w:t>
            </w:r>
          </w:p>
        </w:tc>
        <w:tc>
          <w:tcPr/>
          <w:p>
            <w:pPr>
              <w:pStyle w:val="Compact"/>
              <w:jc w:val="left"/>
            </w:pPr>
            <w:r>
              <w:t xml:space="preserve">Built</w:t>
            </w:r>
          </w:p>
        </w:tc>
      </w:tr>
      <w:tr>
        <w:tc>
          <w:tcPr/>
          <w:p>
            <w:pPr>
              <w:pStyle w:val="Compact"/>
              <w:jc w:val="left"/>
            </w:pPr>
            <w:r>
              <w:t xml:space="preserve">Secrets in AWS Secrets Manager; no secrets in the repository</w:t>
            </w:r>
          </w:p>
        </w:tc>
        <w:tc>
          <w:tcPr/>
          <w:p>
            <w:pPr>
              <w:pStyle w:val="Compact"/>
              <w:jc w:val="left"/>
            </w:pPr>
            <w:r>
              <w:t xml:space="preserve">Planned for release (development uses throwaway values)</w:t>
            </w:r>
          </w:p>
        </w:tc>
      </w:tr>
      <w:tr>
        <w:tc>
          <w:tcPr/>
          <w:p>
            <w:pPr>
              <w:pStyle w:val="Compact"/>
              <w:jc w:val="left"/>
            </w:pPr>
            <w:r>
              <w:t xml:space="preserve">Encryption at rest (RDS, S3) and TLS 1.2+ everywhere</w:t>
            </w:r>
          </w:p>
        </w:tc>
        <w:tc>
          <w:tcPr/>
          <w:p>
            <w:pPr>
              <w:pStyle w:val="Compact"/>
              <w:jc w:val="left"/>
            </w:pPr>
            <w:r>
              <w:t xml:space="preserve">Planned for release</w:t>
            </w:r>
          </w:p>
        </w:tc>
      </w:tr>
      <w:tr>
        <w:tc>
          <w:tcPr/>
          <w:p>
            <w:pPr>
              <w:pStyle w:val="Compact"/>
              <w:jc w:val="left"/>
            </w:pPr>
            <w:r>
              <w:t xml:space="preserve">Audit log append-only, including platform owner visits</w:t>
            </w:r>
          </w:p>
        </w:tc>
        <w:tc>
          <w:tcPr/>
          <w:p>
            <w:pPr>
              <w:pStyle w:val="Compact"/>
              <w:jc w:val="left"/>
            </w:pPr>
            <w:r>
              <w:t xml:space="preserve">Built (visits pending)</w:t>
            </w:r>
          </w:p>
        </w:tc>
      </w:tr>
      <w:tr>
        <w:tc>
          <w:tcPr/>
          <w:p>
            <w:pPr>
              <w:pStyle w:val="Compact"/>
              <w:jc w:val="left"/>
            </w:pPr>
            <w:r>
              <w:t xml:space="preserve">Penetration test and review against OWASP ASVS level 2 before real data</w:t>
            </w:r>
          </w:p>
        </w:tc>
        <w:tc>
          <w:tcPr/>
          <w:p>
            <w:pPr>
              <w:pStyle w:val="Compact"/>
              <w:jc w:val="left"/>
            </w:pPr>
            <w:r>
              <w:t xml:space="preserve">Planned (board item)</w:t>
            </w:r>
          </w:p>
        </w:tc>
      </w:tr>
    </w:tbl>
    <w:bookmarkEnd w:id="42"/>
    <w:bookmarkStart w:id="43" w:name="hosting-environments-and-cost"/>
    <w:p>
      <w:pPr>
        <w:pStyle w:val="Heading1"/>
      </w:pPr>
      <w:r>
        <w:t xml:space="preserve">15. Hosting, environments and cost</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284"/>
        <w:gridCol w:w="5137"/>
        <w:gridCol w:w="1498"/>
      </w:tblGrid>
      <w:tr>
        <w:trPr>
          <w:tblHeader w:val="true"/>
        </w:trPr>
        <w:tc>
          <w:tcPr>
            <w:shd w:val="clear" w:fill="E8EEF6"/>
          </w:tcPr>
          <w:p>
            <w:pPr>
              <w:pStyle w:val="Compact"/>
              <w:jc w:val="left"/>
            </w:pPr>
            <w:r>
              <w:rPr>
                <w:b/>
              </w:rPr>
              <w:t xml:space="preserve">Phase</w:t>
            </w:r>
          </w:p>
        </w:tc>
        <w:tc>
          <w:tcPr>
            <w:shd w:val="clear" w:fill="E8EEF6"/>
          </w:tcPr>
          <w:p>
            <w:pPr>
              <w:pStyle w:val="Compact"/>
              <w:jc w:val="left"/>
            </w:pPr>
            <w:r>
              <w:rPr>
                <w:b/>
              </w:rPr>
              <w:t xml:space="preserve">Where</w:t>
            </w:r>
          </w:p>
        </w:tc>
        <w:tc>
          <w:tcPr>
            <w:shd w:val="clear" w:fill="E8EEF6"/>
          </w:tcPr>
          <w:p>
            <w:pPr>
              <w:pStyle w:val="Compact"/>
              <w:jc w:val="left"/>
            </w:pPr>
            <w:r>
              <w:rPr>
                <w:b/>
              </w:rPr>
              <w:t xml:space="preserve">Data</w:t>
            </w:r>
          </w:p>
        </w:tc>
      </w:tr>
      <w:tr>
        <w:tc>
          <w:tcPr/>
          <w:p>
            <w:pPr>
              <w:pStyle w:val="Compact"/>
              <w:jc w:val="left"/>
            </w:pPr>
            <w:r>
              <w:t xml:space="preserve">Build (now)</w:t>
            </w:r>
          </w:p>
        </w:tc>
        <w:tc>
          <w:tcPr/>
          <w:p>
            <w:pPr>
              <w:pStyle w:val="Compact"/>
              <w:jc w:val="left"/>
            </w:pPr>
            <w:r>
              <w:t xml:space="preserve">Local and CI; optional free Supabase project in Canada (Central)</w:t>
            </w:r>
          </w:p>
        </w:tc>
        <w:tc>
          <w:tcPr/>
          <w:p>
            <w:pPr>
              <w:pStyle w:val="Compact"/>
              <w:jc w:val="left"/>
            </w:pPr>
            <w:r>
              <w:t xml:space="preserve">Synthetic only</w:t>
            </w:r>
          </w:p>
        </w:tc>
      </w:tr>
      <w:tr>
        <w:tc>
          <w:tcPr/>
          <w:p>
            <w:pPr>
              <w:pStyle w:val="Compact"/>
              <w:jc w:val="left"/>
            </w:pPr>
            <w:r>
              <w:t xml:space="preserve">Release</w:t>
            </w:r>
          </w:p>
        </w:tc>
        <w:tc>
          <w:tcPr/>
          <w:p>
            <w:pPr>
              <w:pStyle w:val="Compact"/>
              <w:jc w:val="left"/>
            </w:pPr>
            <w:r>
              <w:t xml:space="preserve">AWS Canada (Central), Montreal: app on ECS Fargate or App Runner, RDS PostgreSQL 16 with point-in-time recovery, SES, S3, Secrets Manager; backup copies in Canada West, Calgary</w:t>
            </w:r>
          </w:p>
        </w:tc>
        <w:tc>
          <w:tcPr/>
          <w:p>
            <w:pPr>
              <w:pStyle w:val="Compact"/>
              <w:jc w:val="left"/>
            </w:pPr>
            <w:r>
              <w:t xml:space="preserve">Real</w:t>
            </w:r>
          </w:p>
        </w:tc>
      </w:tr>
    </w:tbl>
    <w:p>
      <w:pPr>
        <w:pStyle w:val="BodyText"/>
      </w:pPr>
      <w:r>
        <w:t xml:space="preserve">Estimated release cost for 4 companies and under 100 people: about US$60 to US$110 a month (smallest RDS instance with backups about $20 to $30, one small app container $15 to $30, load balancer about $20, the rest a few dollars). Confidence: moderate; to be priced with the AWS calculator at release.</w:t>
      </w:r>
    </w:p>
    <w:p>
      <w:pPr>
        <w:pStyle w:val="BodyText"/>
      </w:pPr>
      <w:r>
        <w:t xml:space="preserve">Environments: development (from</w:t>
      </w:r>
      <w:r>
        <w:t xml:space="preserve"> </w:t>
      </w:r>
      <w:r>
        <w:rPr>
          <w:rStyle w:val="VerbatimChar"/>
        </w:rPr>
        <w:t xml:space="preserve">main</w:t>
      </w:r>
      <w:r>
        <w:t xml:space="preserve">, synthetic data), production (from release tags, after the security review).</w:t>
      </w:r>
    </w:p>
    <w:bookmarkEnd w:id="43"/>
    <w:bookmarkStart w:id="44" w:name="delivery-process"/>
    <w:p>
      <w:pPr>
        <w:pStyle w:val="Heading1"/>
      </w:pPr>
      <w:r>
        <w:t xml:space="preserve">16. Delivery process</w:t>
      </w:r>
    </w:p>
    <w:p>
      <w:pPr>
        <w:numPr>
          <w:ilvl w:val="0"/>
          <w:numId w:val="1010"/>
        </w:numPr>
        <w:pStyle w:val="Compact"/>
      </w:pPr>
      <w:r>
        <w:t xml:space="preserve">Trunk-based:</w:t>
      </w:r>
      <w:r>
        <w:t xml:space="preserve"> </w:t>
      </w:r>
      <w:r>
        <w:rPr>
          <w:rStyle w:val="VerbatimChar"/>
        </w:rPr>
        <w:t xml:space="preserve">main</w:t>
      </w:r>
      <w:r>
        <w:t xml:space="preserve"> </w:t>
      </w:r>
      <w:r>
        <w:t xml:space="preserve">always green; one branch per board item; pull request with the template; CI must pass; owner approves.</w:t>
      </w:r>
    </w:p>
    <w:p>
      <w:pPr>
        <w:numPr>
          <w:ilvl w:val="0"/>
          <w:numId w:val="1010"/>
        </w:numPr>
        <w:pStyle w:val="Compact"/>
      </w:pPr>
      <w:r>
        <w:t xml:space="preserve">Releases tagged</w:t>
      </w:r>
      <w:r>
        <w:t xml:space="preserve"> </w:t>
      </w:r>
      <w:r>
        <w:rPr>
          <w:rStyle w:val="VerbatimChar"/>
        </w:rPr>
        <w:t xml:space="preserve">v1.0.0</w:t>
      </w:r>
      <w:r>
        <w:t xml:space="preserve">,</w:t>
      </w:r>
      <w:r>
        <w:t xml:space="preserve"> </w:t>
      </w:r>
      <w:r>
        <w:rPr>
          <w:rStyle w:val="VerbatimChar"/>
        </w:rPr>
        <w:t xml:space="preserve">v1.1.0</w:t>
      </w:r>
      <w:r>
        <w:t xml:space="preserve">; hotfixes</w:t>
      </w:r>
      <w:r>
        <w:t xml:space="preserve"> </w:t>
      </w:r>
      <w:r>
        <w:rPr>
          <w:rStyle w:val="VerbatimChar"/>
        </w:rPr>
        <w:t xml:space="preserve">v1.0.x</w:t>
      </w:r>
      <w:r>
        <w:t xml:space="preserve">.</w:t>
      </w:r>
    </w:p>
    <w:p>
      <w:pPr>
        <w:numPr>
          <w:ilvl w:val="0"/>
          <w:numId w:val="1010"/>
        </w:numPr>
        <w:pStyle w:val="Compact"/>
      </w:pPr>
      <w:r>
        <w:t xml:space="preserve">GitHub branch protection is configured but not enforced on the free plan for a private repository; GitHub Pro (about US$4 a month) enforces it.</w:t>
      </w:r>
    </w:p>
    <w:bookmarkEnd w:id="44"/>
    <w:bookmarkStart w:id="45" w:name="testing-strategy"/>
    <w:p>
      <w:pPr>
        <w:pStyle w:val="Heading1"/>
      </w:pPr>
      <w:r>
        <w:t xml:space="preserve">17. Testing strategy</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494"/>
        <w:gridCol w:w="3586"/>
        <w:gridCol w:w="2839"/>
      </w:tblGrid>
      <w:tr>
        <w:trPr>
          <w:tblHeader w:val="true"/>
        </w:trPr>
        <w:tc>
          <w:tcPr>
            <w:shd w:val="clear" w:fill="E8EEF6"/>
          </w:tcPr>
          <w:p>
            <w:pPr>
              <w:pStyle w:val="Compact"/>
              <w:jc w:val="left"/>
            </w:pPr>
            <w:r>
              <w:rPr>
                <w:b/>
              </w:rPr>
              <w:t xml:space="preserve">Level</w:t>
            </w:r>
          </w:p>
        </w:tc>
        <w:tc>
          <w:tcPr>
            <w:shd w:val="clear" w:fill="E8EEF6"/>
          </w:tcPr>
          <w:p>
            <w:pPr>
              <w:pStyle w:val="Compact"/>
              <w:jc w:val="left"/>
            </w:pPr>
            <w:r>
              <w:rPr>
                <w:b/>
              </w:rPr>
              <w:t xml:space="preserve">What</w:t>
            </w:r>
          </w:p>
        </w:tc>
        <w:tc>
          <w:tcPr>
            <w:shd w:val="clear" w:fill="E8EEF6"/>
          </w:tcPr>
          <w:p>
            <w:pPr>
              <w:pStyle w:val="Compact"/>
              <w:jc w:val="left"/>
            </w:pPr>
            <w:r>
              <w:rPr>
                <w:b/>
              </w:rPr>
              <w:t xml:space="preserve">Where</w:t>
            </w:r>
          </w:p>
        </w:tc>
      </w:tr>
      <w:tr>
        <w:tc>
          <w:tcPr/>
          <w:p>
            <w:pPr>
              <w:pStyle w:val="Compact"/>
              <w:jc w:val="left"/>
            </w:pPr>
            <w:r>
              <w:t xml:space="preserve">Unit</w:t>
            </w:r>
          </w:p>
        </w:tc>
        <w:tc>
          <w:tcPr/>
          <w:p>
            <w:pPr>
              <w:pStyle w:val="Compact"/>
              <w:jc w:val="left"/>
            </w:pPr>
            <w:r>
              <w:t xml:space="preserve">Validation, host parsing, contrast, tokens, rate limits, TOTP (RFC vectors), encryption, accrual and day-count functions</w:t>
            </w:r>
          </w:p>
        </w:tc>
        <w:tc>
          <w:tcPr/>
          <w:p>
            <w:pPr>
              <w:pStyle w:val="Compact"/>
              <w:jc w:val="left"/>
            </w:pPr>
            <w:r>
              <w:t xml:space="preserve">Every PR</w:t>
            </w:r>
          </w:p>
        </w:tc>
      </w:tr>
      <w:tr>
        <w:tc>
          <w:tcPr/>
          <w:p>
            <w:pPr>
              <w:pStyle w:val="Compact"/>
              <w:jc w:val="left"/>
            </w:pPr>
            <w:r>
              <w:t xml:space="preserve">Database</w:t>
            </w:r>
          </w:p>
        </w:tc>
        <w:tc>
          <w:tcPr/>
          <w:p>
            <w:pPr>
              <w:pStyle w:val="Compact"/>
              <w:jc w:val="left"/>
            </w:pPr>
            <w:r>
              <w:t xml:space="preserve">Separation tests (cannot read, insert, move, update, delete across companies; no cross-company links; no leak across pooled connections; role limits; guard test), sign-in and two-step flows against Postgres 16</w:t>
            </w:r>
          </w:p>
        </w:tc>
        <w:tc>
          <w:tcPr/>
          <w:p>
            <w:pPr>
              <w:pStyle w:val="Compact"/>
              <w:jc w:val="left"/>
            </w:pPr>
            <w:r>
              <w:t xml:space="preserve">Every PR</w:t>
            </w:r>
          </w:p>
        </w:tc>
      </w:tr>
      <w:tr>
        <w:tc>
          <w:tcPr/>
          <w:p>
            <w:pPr>
              <w:pStyle w:val="Compact"/>
              <w:jc w:val="left"/>
            </w:pPr>
            <w:r>
              <w:t xml:space="preserve">End to end</w:t>
            </w:r>
          </w:p>
        </w:tc>
        <w:tc>
          <w:tcPr/>
          <w:p>
            <w:pPr>
              <w:pStyle w:val="Compact"/>
              <w:jc w:val="left"/>
            </w:pPr>
            <w:r>
              <w:t xml:space="preserve">Browser runs of each role’s main flows (Playwright)</w:t>
            </w:r>
          </w:p>
        </w:tc>
        <w:tc>
          <w:tcPr/>
          <w:p>
            <w:pPr>
              <w:pStyle w:val="Compact"/>
              <w:jc w:val="left"/>
            </w:pPr>
            <w:r>
              <w:t xml:space="preserve">Each feature PR; automated in CI in v1</w:t>
            </w:r>
          </w:p>
        </w:tc>
      </w:tr>
      <w:tr>
        <w:tc>
          <w:tcPr/>
          <w:p>
            <w:pPr>
              <w:pStyle w:val="Compact"/>
              <w:jc w:val="left"/>
            </w:pPr>
            <w:r>
              <w:t xml:space="preserve">Accrual golden tests</w:t>
            </w:r>
          </w:p>
        </w:tc>
        <w:tc>
          <w:tcPr/>
          <w:p>
            <w:pPr>
              <w:pStyle w:val="Compact"/>
              <w:jc w:val="left"/>
            </w:pPr>
            <w:r>
              <w:t xml:space="preserve">Worked examples per province and state checked by the legal reviewer</w:t>
            </w:r>
          </w:p>
        </w:tc>
        <w:tc>
          <w:tcPr/>
          <w:p>
            <w:pPr>
              <w:pStyle w:val="Compact"/>
              <w:jc w:val="left"/>
            </w:pPr>
            <w:r>
              <w:t xml:space="preserve">Before release</w:t>
            </w:r>
          </w:p>
        </w:tc>
      </w:tr>
      <w:tr>
        <w:tc>
          <w:tcPr/>
          <w:p>
            <w:pPr>
              <w:pStyle w:val="Compact"/>
              <w:jc w:val="left"/>
            </w:pPr>
            <w:r>
              <w:t xml:space="preserve">Security</w:t>
            </w:r>
          </w:p>
        </w:tc>
        <w:tc>
          <w:tcPr/>
          <w:p>
            <w:pPr>
              <w:pStyle w:val="Compact"/>
              <w:jc w:val="left"/>
            </w:pPr>
            <w:r>
              <w:t xml:space="preserve">Dependency audit every PR; penetration test before release</w:t>
            </w:r>
          </w:p>
        </w:tc>
        <w:tc>
          <w:tcPr/>
          <w:p>
            <w:pPr>
              <w:pStyle w:val="Compact"/>
            </w:pPr>
          </w:p>
        </w:tc>
      </w:tr>
    </w:tbl>
    <w:bookmarkEnd w:id="45"/>
    <w:bookmarkStart w:id="46" w:name="observability-and-operations"/>
    <w:p>
      <w:pPr>
        <w:pStyle w:val="Heading1"/>
      </w:pPr>
      <w:r>
        <w:t xml:space="preserve">18. Observability and operations</w:t>
      </w:r>
    </w:p>
    <w:p>
      <w:pPr>
        <w:pStyle w:val="FirstParagraph"/>
      </w:pPr>
      <w:r>
        <w:t xml:space="preserve">Structured logs without personal data beyond ids; error tracking hosted in Canada or self-hosted; health check endpoint; alerts on job failures, email bounces and sign-in spikes; daily backup restore test in the first month, monthly after.</w:t>
      </w:r>
    </w:p>
    <w:bookmarkEnd w:id="46"/>
    <w:bookmarkStart w:id="47" w:name="known-limitations-and-technical-debt"/>
    <w:p>
      <w:pPr>
        <w:pStyle w:val="Heading1"/>
      </w:pPr>
      <w:r>
        <w:t xml:space="preserve">19. Known limitations and technical debt</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3499"/>
        <w:gridCol w:w="4420"/>
      </w:tblGrid>
      <w:tr>
        <w:trPr>
          <w:tblHeader w:val="true"/>
        </w:trPr>
        <w:tc>
          <w:tcPr>
            <w:shd w:val="clear" w:fill="E8EEF6"/>
          </w:tcPr>
          <w:p>
            <w:pPr>
              <w:pStyle w:val="Compact"/>
              <w:jc w:val="left"/>
            </w:pPr>
            <w:r>
              <w:rPr>
                <w:b/>
              </w:rPr>
              <w:t xml:space="preserve">Item</w:t>
            </w:r>
          </w:p>
        </w:tc>
        <w:tc>
          <w:tcPr>
            <w:shd w:val="clear" w:fill="E8EEF6"/>
          </w:tcPr>
          <w:p>
            <w:pPr>
              <w:pStyle w:val="Compact"/>
              <w:jc w:val="left"/>
            </w:pPr>
            <w:r>
              <w:rPr>
                <w:b/>
              </w:rPr>
              <w:t xml:space="preserve">Plan</w:t>
            </w:r>
          </w:p>
        </w:tc>
      </w:tr>
      <w:tr>
        <w:tc>
          <w:tcPr/>
          <w:p>
            <w:pPr>
              <w:pStyle w:val="Compact"/>
              <w:jc w:val="left"/>
            </w:pPr>
            <w:r>
              <w:t xml:space="preserve">Rate limits are in memory (one server)</w:t>
            </w:r>
          </w:p>
        </w:tc>
        <w:tc>
          <w:tcPr/>
          <w:p>
            <w:pPr>
              <w:pStyle w:val="Compact"/>
              <w:jc w:val="left"/>
            </w:pPr>
            <w:r>
              <w:t xml:space="preserve">Move to Postgres when running more than one instance</w:t>
            </w:r>
          </w:p>
        </w:tc>
      </w:tr>
      <w:tr>
        <w:tc>
          <w:tcPr/>
          <w:p>
            <w:pPr>
              <w:pStyle w:val="Compact"/>
              <w:jc w:val="left"/>
            </w:pPr>
            <w:r>
              <w:t xml:space="preserve">Production email transport not wired</w:t>
            </w:r>
          </w:p>
        </w:tc>
        <w:tc>
          <w:tcPr/>
          <w:p>
            <w:pPr>
              <w:pStyle w:val="Compact"/>
              <w:jc w:val="left"/>
            </w:pPr>
            <w:r>
              <w:t xml:space="preserve">SES with the release item</w:t>
            </w:r>
          </w:p>
        </w:tc>
      </w:tr>
      <w:tr>
        <w:tc>
          <w:tcPr/>
          <w:p>
            <w:pPr>
              <w:pStyle w:val="Compact"/>
              <w:jc w:val="left"/>
            </w:pPr>
            <w:r>
              <w:t xml:space="preserve">Next.js 15 with PostCSS override</w:t>
            </w:r>
          </w:p>
        </w:tc>
        <w:tc>
          <w:tcPr/>
          <w:p>
            <w:pPr>
              <w:pStyle w:val="Compact"/>
              <w:jc w:val="left"/>
            </w:pPr>
            <w:r>
              <w:t xml:space="preserve">Move to Next.js 16 when stable for our needs; remove override</w:t>
            </w:r>
          </w:p>
        </w:tc>
      </w:tr>
      <w:tr>
        <w:tc>
          <w:tcPr/>
          <w:p>
            <w:pPr>
              <w:pStyle w:val="Compact"/>
              <w:jc w:val="left"/>
            </w:pPr>
            <w:r>
              <w:rPr>
                <w:rStyle w:val="VerbatimChar"/>
              </w:rPr>
              <w:t xml:space="preserve">X-Forwarded-Host</w:t>
            </w:r>
            <w:r>
              <w:t xml:space="preserve"> </w:t>
            </w:r>
            <w:r>
              <w:t xml:space="preserve">trusted</w:t>
            </w:r>
          </w:p>
        </w:tc>
        <w:tc>
          <w:tcPr/>
          <w:p>
            <w:pPr>
              <w:pStyle w:val="Compact"/>
              <w:jc w:val="left"/>
            </w:pPr>
            <w:r>
              <w:t xml:space="preserve">Load balancer must overwrite the header; documented in deployment checklist</w:t>
            </w:r>
          </w:p>
        </w:tc>
      </w:tr>
      <w:tr>
        <w:tc>
          <w:tcPr/>
          <w:p>
            <w:pPr>
              <w:pStyle w:val="Compact"/>
              <w:jc w:val="left"/>
            </w:pPr>
            <w:r>
              <w:t xml:space="preserve">Branch protection not enforced</w:t>
            </w:r>
          </w:p>
        </w:tc>
        <w:tc>
          <w:tcPr/>
          <w:p>
            <w:pPr>
              <w:pStyle w:val="Compact"/>
              <w:jc w:val="left"/>
            </w:pPr>
            <w:r>
              <w:t xml:space="preserve">GitHub Pro</w:t>
            </w:r>
          </w:p>
        </w:tc>
      </w:tr>
      <w:tr>
        <w:tc>
          <w:tcPr/>
          <w:p>
            <w:pPr>
              <w:pStyle w:val="Compact"/>
              <w:jc w:val="left"/>
            </w:pPr>
            <w:r>
              <w:t xml:space="preserve">Two-step not offered to employees</w:t>
            </w:r>
          </w:p>
        </w:tc>
        <w:tc>
          <w:tcPr/>
          <w:p>
            <w:pPr>
              <w:pStyle w:val="Compact"/>
              <w:jc w:val="left"/>
            </w:pPr>
            <w:r>
              <w:t xml:space="preserve">Decision D8</w:t>
            </w:r>
          </w:p>
        </w:tc>
      </w:tr>
    </w:tbl>
    <w:bookmarkEnd w:id="47"/>
    <w:bookmarkStart w:id="48" w:name="open-technical-decisions"/>
    <w:p>
      <w:pPr>
        <w:pStyle w:val="Heading1"/>
      </w:pPr>
      <w:r>
        <w:t xml:space="preserve">20. Open technical decisions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880"/>
        <w:gridCol w:w="3520"/>
        <w:gridCol w:w="3520"/>
      </w:tblGrid>
      <w:tr>
        <w:trPr>
          <w:tblHeader w:val="true"/>
        </w:trPr>
        <w:tc>
          <w:tcPr>
            <w:shd w:val="clear" w:fill="E8EEF6"/>
          </w:tcPr>
          <w:p>
            <w:pPr>
              <w:pStyle w:val="Compact"/>
              <w:jc w:val="left"/>
            </w:pPr>
            <w:r>
              <w:rPr>
                <w:b/>
              </w:rPr>
              <w:t xml:space="preserve">#</w:t>
            </w:r>
          </w:p>
        </w:tc>
        <w:tc>
          <w:tcPr>
            <w:shd w:val="clear" w:fill="E8EEF6"/>
          </w:tcPr>
          <w:p>
            <w:pPr>
              <w:pStyle w:val="Compact"/>
              <w:jc w:val="left"/>
            </w:pPr>
            <w:r>
              <w:rPr>
                <w:b/>
              </w:rPr>
              <w:t xml:space="preserve">Decision</w:t>
            </w:r>
          </w:p>
        </w:tc>
        <w:tc>
          <w:tcPr>
            <w:shd w:val="clear" w:fill="E8EEF6"/>
          </w:tcPr>
          <w:p>
            <w:pPr>
              <w:pStyle w:val="Compact"/>
              <w:jc w:val="left"/>
            </w:pPr>
            <w:r>
              <w:rPr>
                <w:b/>
              </w:rPr>
              <w:t xml:space="preserve">Recommendation</w:t>
            </w:r>
          </w:p>
        </w:tc>
      </w:tr>
      <w:tr>
        <w:tc>
          <w:tcPr/>
          <w:p>
            <w:pPr>
              <w:pStyle w:val="Compact"/>
              <w:jc w:val="left"/>
            </w:pPr>
            <w:r>
              <w:t xml:space="preserve">T1</w:t>
            </w:r>
          </w:p>
        </w:tc>
        <w:tc>
          <w:tcPr/>
          <w:p>
            <w:pPr>
              <w:pStyle w:val="Compact"/>
              <w:jc w:val="left"/>
            </w:pPr>
            <w:r>
              <w:t xml:space="preserve">App hosting on AWS: ECS Fargate or App Runner</w:t>
            </w:r>
          </w:p>
        </w:tc>
        <w:tc>
          <w:tcPr/>
          <w:p>
            <w:pPr>
              <w:pStyle w:val="Compact"/>
              <w:jc w:val="left"/>
            </w:pPr>
            <w:r>
              <w:t xml:space="preserve">App Runner for simplicity if available in Canada (Central) at release; otherwise Fargate</w:t>
            </w:r>
          </w:p>
        </w:tc>
      </w:tr>
      <w:tr>
        <w:tc>
          <w:tcPr/>
          <w:p>
            <w:pPr>
              <w:pStyle w:val="Compact"/>
              <w:jc w:val="left"/>
            </w:pPr>
            <w:r>
              <w:t xml:space="preserve">T2</w:t>
            </w:r>
          </w:p>
        </w:tc>
        <w:tc>
          <w:tcPr/>
          <w:p>
            <w:pPr>
              <w:pStyle w:val="Compact"/>
              <w:jc w:val="left"/>
            </w:pPr>
            <w:r>
              <w:t xml:space="preserve">Background jobs: Postgres queue or a managed queue</w:t>
            </w:r>
          </w:p>
        </w:tc>
        <w:tc>
          <w:tcPr/>
          <w:p>
            <w:pPr>
              <w:pStyle w:val="Compact"/>
              <w:jc w:val="left"/>
            </w:pPr>
            <w:r>
              <w:t xml:space="preserve">Postgres</w:t>
            </w:r>
            <w:r>
              <w:t xml:space="preserve"> </w:t>
            </w:r>
            <w:r>
              <w:rPr>
                <w:rStyle w:val="VerbatimChar"/>
              </w:rPr>
              <w:t xml:space="preserve">SKIP LOCKED</w:t>
            </w:r>
            <w:r>
              <w:t xml:space="preserve"> </w:t>
            </w:r>
            <w:r>
              <w:t xml:space="preserve">queue (one less service)</w:t>
            </w:r>
          </w:p>
        </w:tc>
      </w:tr>
      <w:tr>
        <w:tc>
          <w:tcPr/>
          <w:p>
            <w:pPr>
              <w:pStyle w:val="Compact"/>
              <w:jc w:val="left"/>
            </w:pPr>
            <w:r>
              <w:t xml:space="preserve">T3</w:t>
            </w:r>
          </w:p>
        </w:tc>
        <w:tc>
          <w:tcPr/>
          <w:p>
            <w:pPr>
              <w:pStyle w:val="Compact"/>
              <w:jc w:val="left"/>
            </w:pPr>
            <w:r>
              <w:t xml:space="preserve">Error tracking with Canadian residency</w:t>
            </w:r>
          </w:p>
        </w:tc>
        <w:tc>
          <w:tcPr/>
          <w:p>
            <w:pPr>
              <w:pStyle w:val="Compact"/>
              <w:jc w:val="left"/>
            </w:pPr>
            <w:r>
              <w:t xml:space="preserve">Self-hosted or a vendor with a Canadian region</w:t>
            </w:r>
          </w:p>
        </w:tc>
      </w:tr>
      <w:tr>
        <w:tc>
          <w:tcPr/>
          <w:p>
            <w:pPr>
              <w:pStyle w:val="Compact"/>
              <w:jc w:val="left"/>
            </w:pPr>
            <w:r>
              <w:t xml:space="preserve">T4</w:t>
            </w:r>
          </w:p>
        </w:tc>
        <w:tc>
          <w:tcPr/>
          <w:p>
            <w:pPr>
              <w:pStyle w:val="Compact"/>
              <w:jc w:val="left"/>
            </w:pPr>
            <w:r>
              <w:t xml:space="preserve">Work schedules for part-time staff (PRD D3)</w:t>
            </w:r>
          </w:p>
        </w:tc>
        <w:tc>
          <w:tcPr/>
          <w:p>
            <w:pPr>
              <w:pStyle w:val="Compact"/>
              <w:jc w:val="left"/>
            </w:pPr>
            <w:r>
              <w:t xml:space="preserve">Include in v1: work days and hours per day per person</w:t>
            </w:r>
          </w:p>
        </w:tc>
      </w:tr>
      <w:tr>
        <w:tc>
          <w:tcPr/>
          <w:p>
            <w:pPr>
              <w:pStyle w:val="Compact"/>
              <w:jc w:val="left"/>
            </w:pPr>
            <w:r>
              <w:t xml:space="preserve">T5</w:t>
            </w:r>
          </w:p>
        </w:tc>
        <w:tc>
          <w:tcPr/>
          <w:p>
            <w:pPr>
              <w:pStyle w:val="Compact"/>
              <w:jc w:val="left"/>
            </w:pPr>
            <w:r>
              <w:t xml:space="preserve">Company time zone (PRD D4)</w:t>
            </w:r>
          </w:p>
        </w:tc>
        <w:tc>
          <w:tcPr/>
          <w:p>
            <w:pPr>
              <w:pStyle w:val="Compact"/>
              <w:jc w:val="left"/>
            </w:pPr>
            <w:r>
              <w:t xml:space="preserve">One per company</w:t>
            </w:r>
          </w:p>
        </w:tc>
      </w:tr>
    </w:tbl>
    <w:bookmarkEnd w:id="48"/>
    <w:bookmarkStart w:id="49" w:name="traceability"/>
    <w:p>
      <w:pPr>
        <w:pStyle w:val="Heading1"/>
      </w:pPr>
      <w:r>
        <w:t xml:space="preserve">21. Traceability</w:t>
      </w:r>
    </w:p>
    <w:tbl>
      <w:tblPr>
        <w:tblStyle w:val="Table"/>
        <w:tblW w:type="auto" w:w="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3960"/>
        <w:gridCol w:w="3960"/>
      </w:tblGrid>
      <w:tr>
        <w:trPr>
          <w:tblHeader w:val="true"/>
        </w:trPr>
        <w:tc>
          <w:tcPr>
            <w:shd w:val="clear" w:fill="E8EEF6"/>
          </w:tcPr>
          <w:p>
            <w:pPr>
              <w:pStyle w:val="Compact"/>
              <w:jc w:val="left"/>
            </w:pPr>
            <w:r>
              <w:rPr>
                <w:b/>
              </w:rPr>
              <w:t xml:space="preserve">Requirement</w:t>
            </w:r>
          </w:p>
        </w:tc>
        <w:tc>
          <w:tcPr>
            <w:shd w:val="clear" w:fill="E8EEF6"/>
          </w:tcPr>
          <w:p>
            <w:pPr>
              <w:pStyle w:val="Compact"/>
              <w:jc w:val="left"/>
            </w:pPr>
            <w:r>
              <w:rPr>
                <w:b/>
              </w:rPr>
              <w:t xml:space="preserve">Section</w:t>
            </w:r>
          </w:p>
        </w:tc>
      </w:tr>
      <w:tr>
        <w:tc>
          <w:tcPr/>
          <w:p>
            <w:pPr>
              <w:pStyle w:val="Compact"/>
              <w:jc w:val="left"/>
            </w:pPr>
            <w:r>
              <w:t xml:space="preserve">FR-01 to FR-06</w:t>
            </w:r>
          </w:p>
        </w:tc>
        <w:tc>
          <w:tcPr/>
          <w:p>
            <w:pPr>
              <w:pStyle w:val="Compact"/>
              <w:jc w:val="left"/>
            </w:pPr>
            <w:r>
              <w:t xml:space="preserve">4, 5, 6</w:t>
            </w:r>
          </w:p>
        </w:tc>
      </w:tr>
      <w:tr>
        <w:tc>
          <w:tcPr/>
          <w:p>
            <w:pPr>
              <w:pStyle w:val="Compact"/>
              <w:jc w:val="left"/>
            </w:pPr>
            <w:r>
              <w:t xml:space="preserve">FR-10 to FR-15</w:t>
            </w:r>
          </w:p>
        </w:tc>
        <w:tc>
          <w:tcPr/>
          <w:p>
            <w:pPr>
              <w:pStyle w:val="Compact"/>
              <w:jc w:val="left"/>
            </w:pPr>
            <w:r>
              <w:t xml:space="preserve">7</w:t>
            </w:r>
          </w:p>
        </w:tc>
      </w:tr>
      <w:tr>
        <w:tc>
          <w:tcPr/>
          <w:p>
            <w:pPr>
              <w:pStyle w:val="Compact"/>
              <w:jc w:val="left"/>
            </w:pPr>
            <w:r>
              <w:t xml:space="preserve">FR-20 to FR-22</w:t>
            </w:r>
          </w:p>
        </w:tc>
        <w:tc>
          <w:tcPr/>
          <w:p>
            <w:pPr>
              <w:pStyle w:val="Compact"/>
              <w:jc w:val="left"/>
            </w:pPr>
            <w:r>
              <w:t xml:space="preserve">5.2</w:t>
            </w:r>
          </w:p>
        </w:tc>
      </w:tr>
      <w:tr>
        <w:tc>
          <w:tcPr/>
          <w:p>
            <w:pPr>
              <w:pStyle w:val="Compact"/>
              <w:jc w:val="left"/>
            </w:pPr>
            <w:r>
              <w:t xml:space="preserve">FR-30 to FR-42</w:t>
            </w:r>
          </w:p>
        </w:tc>
        <w:tc>
          <w:tcPr/>
          <w:p>
            <w:pPr>
              <w:pStyle w:val="Compact"/>
              <w:jc w:val="left"/>
            </w:pPr>
            <w:r>
              <w:t xml:space="preserve">8</w:t>
            </w:r>
          </w:p>
        </w:tc>
      </w:tr>
      <w:tr>
        <w:tc>
          <w:tcPr/>
          <w:p>
            <w:pPr>
              <w:pStyle w:val="Compact"/>
              <w:jc w:val="left"/>
            </w:pPr>
            <w:r>
              <w:t xml:space="preserve">FR-50 to FR-57</w:t>
            </w:r>
          </w:p>
        </w:tc>
        <w:tc>
          <w:tcPr/>
          <w:p>
            <w:pPr>
              <w:pStyle w:val="Compact"/>
              <w:jc w:val="left"/>
            </w:pPr>
            <w:r>
              <w:t xml:space="preserve">9</w:t>
            </w:r>
          </w:p>
        </w:tc>
      </w:tr>
      <w:tr>
        <w:tc>
          <w:tcPr/>
          <w:p>
            <w:pPr>
              <w:pStyle w:val="Compact"/>
              <w:jc w:val="left"/>
            </w:pPr>
            <w:r>
              <w:t xml:space="preserve">FR-60 to FR-63</w:t>
            </w:r>
          </w:p>
        </w:tc>
        <w:tc>
          <w:tcPr/>
          <w:p>
            <w:pPr>
              <w:pStyle w:val="Compact"/>
              <w:jc w:val="left"/>
            </w:pPr>
            <w:r>
              <w:t xml:space="preserve">10</w:t>
            </w:r>
          </w:p>
        </w:tc>
      </w:tr>
      <w:tr>
        <w:tc>
          <w:tcPr/>
          <w:p>
            <w:pPr>
              <w:pStyle w:val="Compact"/>
              <w:jc w:val="left"/>
            </w:pPr>
            <w:r>
              <w:t xml:space="preserve">FR-70 to FR-80</w:t>
            </w:r>
          </w:p>
        </w:tc>
        <w:tc>
          <w:tcPr/>
          <w:p>
            <w:pPr>
              <w:pStyle w:val="Compact"/>
              <w:jc w:val="left"/>
            </w:pPr>
            <w:r>
              <w:t xml:space="preserve">12</w:t>
            </w:r>
          </w:p>
        </w:tc>
      </w:tr>
      <w:tr>
        <w:tc>
          <w:tcPr/>
          <w:p>
            <w:pPr>
              <w:pStyle w:val="Compact"/>
              <w:jc w:val="left"/>
            </w:pPr>
            <w:r>
              <w:t xml:space="preserve">FR-90 to FR-95</w:t>
            </w:r>
          </w:p>
        </w:tc>
        <w:tc>
          <w:tcPr/>
          <w:p>
            <w:pPr>
              <w:pStyle w:val="Compact"/>
              <w:jc w:val="left"/>
            </w:pPr>
            <w:r>
              <w:t xml:space="preserve">11</w:t>
            </w:r>
          </w:p>
        </w:tc>
      </w:tr>
      <w:tr>
        <w:tc>
          <w:tcPr/>
          <w:p>
            <w:pPr>
              <w:pStyle w:val="Compact"/>
              <w:jc w:val="left"/>
            </w:pPr>
            <w:r>
              <w:t xml:space="preserve">FR-100</w:t>
            </w:r>
          </w:p>
        </w:tc>
        <w:tc>
          <w:tcPr/>
          <w:p>
            <w:pPr>
              <w:pStyle w:val="Compact"/>
              <w:jc w:val="left"/>
            </w:pPr>
            <w:r>
              <w:t xml:space="preserve">13</w:t>
            </w:r>
          </w:p>
        </w:tc>
      </w:tr>
      <w:tr>
        <w:tc>
          <w:tcPr/>
          <w:p>
            <w:pPr>
              <w:pStyle w:val="Compact"/>
              <w:jc w:val="left"/>
            </w:pPr>
            <w:r>
              <w:t xml:space="preserve">FR-110</w:t>
            </w:r>
          </w:p>
        </w:tc>
        <w:tc>
          <w:tcPr/>
          <w:p>
            <w:pPr>
              <w:pStyle w:val="Compact"/>
              <w:jc w:val="left"/>
            </w:pPr>
            <w:r>
              <w:t xml:space="preserve">4, 14</w:t>
            </w:r>
          </w:p>
        </w:tc>
      </w:tr>
      <w:tr>
        <w:tc>
          <w:tcPr/>
          <w:p>
            <w:pPr>
              <w:pStyle w:val="Compact"/>
              <w:jc w:val="left"/>
            </w:pPr>
            <w:r>
              <w:t xml:space="preserve">NFR-01 to NFR-11</w:t>
            </w:r>
          </w:p>
        </w:tc>
        <w:tc>
          <w:tcPr/>
          <w:p>
            <w:pPr>
              <w:pStyle w:val="Compact"/>
              <w:jc w:val="left"/>
            </w:pPr>
            <w:r>
              <w:t xml:space="preserve">4, 14, 15, 17, 18</w:t>
            </w:r>
          </w:p>
        </w:tc>
      </w:tr>
    </w:tbl>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b w:val="0"/>
      <w:color w:val="2B6CB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AAS Time Off Planner: Technical Requirements Document</dc:title>
  <dc:creator/>
  <cp:keywords/>
  <dcterms:created xsi:type="dcterms:W3CDTF">2026-10-23T21:49:54Z</dcterms:created>
  <dcterms:modified xsi:type="dcterms:W3CDTF">2026-10-23T21:49:54Z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Version 1.0 draft for review</vt:lpwstr>
  </property>
</Properties>
</file>