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Provo,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Creative Director / Brand Designer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Creative director who builds a brand system and then carries it through every surface: app, website, campaign, and physical experience. Directed the visual identity for a wellness app and its marketing site, designed ten original characters and a full identity system for a children's entertainment brand, and led branding, packaging, and campaign work for an international CBD company.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Brand strategy &amp; visual identity systems · Typography systems · Original character/IP design · Campaign &amp; multimedia production (300+ assets) · Art direction · Cross-channel brand consistency · Content-governance systems (claims, compliance-sensitive copy)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App + Marketing Site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the "luminous premium healing" visual system across app and web: a chakra-accented palette, a Cormorant Garamond + Manrope typography system, and the App Store launch asset set. Produced and directed 300+ multimedia assets · graphics, video, and campaigns · for marketing, education, and retreat content.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Once Upon a Princess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Brand Identity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Created ten original princess characters and a complete visual system (an arch motif, an "invitation" gold-hairline device, and a crown mark used across the logo, favicon, and closing CTA) · designed from the ground up to avoid any resemblance to protected characters.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Nectar CBD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Brand &amp; Packaging</w:t>
      </w:r>
      <w:r>
        <w:rPr>
          <w:rFonts w:ascii="Calibri" w:cs="Calibri" w:eastAsia="Calibri" w:hAnsi="Calibri"/>
          <w:sz w:val="21"/>
          <w:szCs w:val="21"/>
        </w:rPr>
        <w:t xml:space="preserve"> (2019–2021)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branding, packaging, and product design for a company that became the first to sell CBD into Japan; directed the digital marketing campaigns supporting international distribution.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Bilingual Brand &amp; Content System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a content-verification governance system (verified/source/proposed tiers) so ceremonial, cultural, medical, and legal content is never machine-translated or shipped unconfirmed · brand integrity applied to sensitive, cross-cultural material.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·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·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Director of South America, Marketing &amp; Activities · Natural Worship (Nonprofit)</w:t>
      </w:r>
      <w:r>
        <w:rPr>
          <w:rFonts w:ascii="Calibri" w:cs="Calibri" w:eastAsia="Calibri" w:hAnsi="Calibri"/>
          <w:sz w:val="21"/>
          <w:szCs w:val="21"/>
        </w:rPr>
        <w:t xml:space="preserve"> · Jan 2022–Present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·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· Coursework in Robotics &amp; Technology (2017–2019) · Graphic Design Certification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2026-09-28T20:35:40.619Z</dcterms:created>
  <dcterms:modified xsi:type="dcterms:W3CDTF">2026-09-28T20:35:40.620Z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