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Graphic Designer / Digital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Graphic designer working across app UI, web, print-adjacent brand collateral, and campaign creative. Produced and directed 300+ multimedia assets for a wellness brand, designed an original character set and full visual identity for a children's brand, and built typography and visual systems used consistently across app, web, and marketing surfaces.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Visual identity &amp; layout · Typography systems (variable/self-hosted fonts) · Illustration/iconography direction · Campaign &amp; social creative · Adobe Photoshop &amp; Illustrator · 3D animation · Digital interface design · Original character design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Visual System, App + Web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a chakra-accented "luminous premium healing" palette and a Cormorant Garamond + Manrope typography system carried across the app and marketing site. Produced 300+ multimedia assets (graphics, video, campaigns) and the full App Store screenshot/launch asset set.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Character &amp; Brand System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ten original princess characters and a cohesive visual system: an arch-topped card motif, a gold "invitation" hairline device, and a crown mark reused across the logo, favicon, and closing call-to-action.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Editorial, Photography-Led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 photography-led bilingual site with a hand-built CSS token system and self-hosted variable type (Fraunces + Instrument Sans), and a media-provenance system distinguishing real photography from labeled atmosphere art.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Packaging &amp; Product Design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packaging and product design for a CBD company's retail and international product lines.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—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—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—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— Coursework in Robotics &amp; Technology (2017–2019) · Graphic Design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2026-09-26T17:39:37.227Z</dcterms:created>
  <dcterms:modified xsi:type="dcterms:W3CDTF">2026-09-26T17:39:37.229Z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