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Provo,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Creative Director / Brand Designer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Creative director who builds a brand system and then carries it through every surface: app, website, campaign, and physical experience. Directed the visual identity for a wellness app and its marketing site, designed ten original characters and a full identity system for a children's entertainment brand, and led branding, packaging, and campaign work for an international CBD company.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Brand strategy &amp; visual identity systems · Typography systems · Original character/IP design · Campaign &amp; multimedia production (300+ assets) · Art direction · Cross-channel brand consistency · Content-governance systems (claims, compliance-sensitive copy)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App + Marketing Site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the "luminous premium healing" visual system across app and web: a chakra-accented palette, a Cormorant Garamond + Manrope typography system, and the App Store launch asset set. Produced and directed 300+ multimedia assets (graphics, video, and campaigns) for marketing, education, and retreat content.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Once Upon a Princess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Identity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Created ten original princess characters and a complete visual system (an arch motif, an "invitation" gold-hairline device, and a crown mark used across the logo, favicon, and closing CTA), designed from the ground up to avoid any resemblance to protected characters.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Nectar CBD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&amp; Packaging</w:t>
      </w:r>
      <w:r>
        <w:rPr>
          <w:rFonts w:ascii="Calibri" w:cs="Calibri" w:eastAsia="Calibri" w:hAnsi="Calibri"/>
          <w:sz w:val="21"/>
          <w:szCs w:val="21"/>
        </w:rPr>
        <w:t xml:space="preserve"> (2019–2021)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branding, packaging, and product design for a company that became the first to sell CBD into Japan; directed the digital marketing campaigns supporting international distribution.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Bilingual Brand &amp; Content System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a content-verification governance system (verified/source/proposed tiers) so ceremonial, cultural, medical, and legal content is never machine-translated or shipped unconfirmed: brand integrity applied to sensitive, cross-cultural material.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Director of South America, Marketing &amp; Activities · Natural Worship (Nonprofit)</w:t>
      </w:r>
      <w:r>
        <w:rPr>
          <w:rFonts w:ascii="Calibri" w:cs="Calibri" w:eastAsia="Calibri" w:hAnsi="Calibri"/>
          <w:sz w:val="21"/>
          <w:szCs w:val="21"/>
        </w:rPr>
        <w:t xml:space="preserve"> · Jan 2022–Present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 · Graphic Design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2026-09-29T14:38:26.291Z</dcterms:created>
  <dcterms:modified xsi:type="dcterms:W3CDTF">2026-09-29T14:38:26.310Z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