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Graphic Designer / Digital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Graphic designer working across app UI, web, print-adjacent brand collateral, and campaign creative. Produced and directed 300+ multimedia assets for a wellness brand, designed an original character set and full visual identity for a children's brand, and built typography and visual systems used consistently across app, web, and marketing surfaces.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Visual identity &amp; layout · Typography systems (variable/self-hosted fonts) · Illustration/iconography direction · Campaign &amp; social creative · Adobe Photoshop &amp; Illustrator · 3D animation · Digital interface design · Original character design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Visual System, App + Web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chakra-accented "luminous premium healing" palette and a Cormorant Garamond + Manrope typography system carried across the app and marketing site. Produced 300+ multimedia assets (graphics, video, campaigns) and the full App Store screenshot/launch asset set.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Character &amp; Brand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princess characters and a cohesive visual system: an arch-topped card motif, a gold "invitation" hairline device, and a crown mark reused across the logo, favicon, and closing call-to-action.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Editorial, Photography-Led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photography-led bilingual site with a hand-built CSS token system and self-hosted variable type (Fraunces + Instrument Sans), and a media-provenance system distinguishing real photography from labeled atmosphere art.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Packaging &amp; Product Design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packaging and product design for a CBD company's retail and international product lines.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2026-09-29T15:28:49.020Z</dcterms:created>
  <dcterms:modified xsi:type="dcterms:W3CDTF">2026-09-29T15:28:49.022Z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