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04605" w14:textId="346CE823" w:rsidR="00D575D7" w:rsidRPr="00D575D7" w:rsidRDefault="00D575D7" w:rsidP="00D575D7">
      <w:r>
        <w:t>PointRCNN with IoU Based Loss</w:t>
      </w:r>
      <w:r w:rsidRPr="00D575D7">
        <w:t>:</w:t>
      </w:r>
    </w:p>
    <w:p w14:paraId="386B2C72" w14:textId="77777777" w:rsidR="00D575D7" w:rsidRPr="00D575D7" w:rsidRDefault="00D575D7" w:rsidP="00D575D7">
      <w:r w:rsidRPr="00D575D7">
        <w:rPr>
          <w:b/>
          <w:bCs/>
        </w:rPr>
        <w:t>1. Terminology &amp; Metrics</w:t>
      </w:r>
    </w:p>
    <w:p w14:paraId="0294EA5C" w14:textId="77777777" w:rsidR="00D575D7" w:rsidRPr="00D575D7" w:rsidRDefault="00D575D7" w:rsidP="00D575D7">
      <w:pPr>
        <w:numPr>
          <w:ilvl w:val="0"/>
          <w:numId w:val="1"/>
        </w:numPr>
      </w:pPr>
      <w:r w:rsidRPr="00D575D7">
        <w:rPr>
          <w:b/>
          <w:bCs/>
        </w:rPr>
        <w:t>AP@X</w:t>
      </w:r>
      <w:r w:rsidRPr="00D575D7">
        <w:t>: Average Precision at IoU threshold X (e.g. 0.5 for pedestrians/cyclists, 0.7 for cars). Higher is better.</w:t>
      </w:r>
    </w:p>
    <w:p w14:paraId="25EF6FD7" w14:textId="77777777" w:rsidR="00D575D7" w:rsidRPr="00D575D7" w:rsidRDefault="00D575D7" w:rsidP="00D575D7">
      <w:pPr>
        <w:numPr>
          <w:ilvl w:val="0"/>
          <w:numId w:val="1"/>
        </w:numPr>
      </w:pPr>
      <w:r w:rsidRPr="00D575D7">
        <w:rPr>
          <w:b/>
          <w:bCs/>
        </w:rPr>
        <w:t>AOS@X</w:t>
      </w:r>
      <w:r w:rsidRPr="00D575D7">
        <w:t>: Average Orientation Similarity (combines detection + correct orientation) at the same IoU threshold.</w:t>
      </w:r>
    </w:p>
    <w:p w14:paraId="6DA24939" w14:textId="77777777" w:rsidR="00D575D7" w:rsidRPr="00D575D7" w:rsidRDefault="00D575D7" w:rsidP="00D575D7">
      <w:pPr>
        <w:numPr>
          <w:ilvl w:val="0"/>
          <w:numId w:val="1"/>
        </w:numPr>
      </w:pPr>
      <w:r w:rsidRPr="00D575D7">
        <w:rPr>
          <w:b/>
          <w:bCs/>
        </w:rPr>
        <w:t>bbox_2d</w:t>
      </w:r>
      <w:r w:rsidRPr="00D575D7">
        <w:t>: 2D bounding</w:t>
      </w:r>
      <w:r w:rsidRPr="00D575D7">
        <w:rPr>
          <w:rFonts w:ascii="Cambria Math" w:hAnsi="Cambria Math" w:cs="Cambria Math"/>
        </w:rPr>
        <w:t>‐</w:t>
      </w:r>
      <w:r w:rsidRPr="00D575D7">
        <w:t>box AP in image space.</w:t>
      </w:r>
    </w:p>
    <w:p w14:paraId="05DFF071" w14:textId="77777777" w:rsidR="00D575D7" w:rsidRPr="00D575D7" w:rsidRDefault="00D575D7" w:rsidP="00D575D7">
      <w:pPr>
        <w:numPr>
          <w:ilvl w:val="0"/>
          <w:numId w:val="1"/>
        </w:numPr>
      </w:pPr>
      <w:r w:rsidRPr="00D575D7">
        <w:rPr>
          <w:b/>
          <w:bCs/>
        </w:rPr>
        <w:t>bbox_bev</w:t>
      </w:r>
      <w:r w:rsidRPr="00D575D7">
        <w:t>: Bird’s</w:t>
      </w:r>
      <w:r w:rsidRPr="00D575D7">
        <w:rPr>
          <w:rFonts w:ascii="Cambria Math" w:hAnsi="Cambria Math" w:cs="Cambria Math"/>
        </w:rPr>
        <w:t>‐</w:t>
      </w:r>
      <w:r w:rsidRPr="00D575D7">
        <w:t>Eye View detection AP.</w:t>
      </w:r>
    </w:p>
    <w:p w14:paraId="7B17E5B4" w14:textId="77777777" w:rsidR="00D575D7" w:rsidRPr="00D575D7" w:rsidRDefault="00D575D7" w:rsidP="00D575D7">
      <w:pPr>
        <w:numPr>
          <w:ilvl w:val="0"/>
          <w:numId w:val="1"/>
        </w:numPr>
      </w:pPr>
      <w:r w:rsidRPr="00D575D7">
        <w:rPr>
          <w:b/>
          <w:bCs/>
        </w:rPr>
        <w:t>bbox_3d</w:t>
      </w:r>
      <w:r w:rsidRPr="00D575D7">
        <w:t>: Full 3D bounding</w:t>
      </w:r>
      <w:r w:rsidRPr="00D575D7">
        <w:rPr>
          <w:rFonts w:ascii="Cambria Math" w:hAnsi="Cambria Math" w:cs="Cambria Math"/>
        </w:rPr>
        <w:t>‐</w:t>
      </w:r>
      <w:r w:rsidRPr="00D575D7">
        <w:t>box AP.</w:t>
      </w:r>
    </w:p>
    <w:p w14:paraId="5ED4359B" w14:textId="77777777" w:rsidR="00D575D7" w:rsidRPr="00D575D7" w:rsidRDefault="00D575D7" w:rsidP="00D575D7">
      <w:r w:rsidRPr="00D575D7">
        <w:rPr>
          <w:b/>
          <w:bCs/>
        </w:rPr>
        <w:t>Difficulty levels</w:t>
      </w:r>
    </w:p>
    <w:p w14:paraId="0E196808" w14:textId="77777777" w:rsidR="00D575D7" w:rsidRDefault="00D575D7" w:rsidP="00D575D7">
      <w:pPr>
        <w:numPr>
          <w:ilvl w:val="0"/>
          <w:numId w:val="2"/>
        </w:numPr>
      </w:pPr>
      <w:r w:rsidRPr="00D575D7">
        <w:rPr>
          <w:b/>
          <w:bCs/>
        </w:rPr>
        <w:t>Easy</w:t>
      </w:r>
      <w:r w:rsidRPr="00D575D7">
        <w:t xml:space="preserve">, </w:t>
      </w:r>
      <w:r w:rsidRPr="00D575D7">
        <w:rPr>
          <w:b/>
          <w:bCs/>
        </w:rPr>
        <w:t>Moderate</w:t>
      </w:r>
      <w:r w:rsidRPr="00D575D7">
        <w:t xml:space="preserve">, </w:t>
      </w:r>
      <w:r w:rsidRPr="00D575D7">
        <w:rPr>
          <w:b/>
          <w:bCs/>
        </w:rPr>
        <w:t>Hard</w:t>
      </w:r>
      <w:r w:rsidRPr="00D575D7">
        <w:t xml:space="preserve"> correspond to increasing occlusion, truncation, distance, and smaller object sizes.</w:t>
      </w:r>
    </w:p>
    <w:p w14:paraId="7FB8C3E2" w14:textId="77777777" w:rsidR="00D575D7" w:rsidRPr="00D575D7" w:rsidRDefault="00D575D7" w:rsidP="00D575D7"/>
    <w:p w14:paraId="6E3FB228" w14:textId="77777777" w:rsidR="00D575D7" w:rsidRPr="00D575D7" w:rsidRDefault="00D575D7" w:rsidP="00D575D7">
      <w:r w:rsidRPr="00D575D7">
        <w:rPr>
          <w:b/>
          <w:bCs/>
        </w:rPr>
        <w:t>2. Per</w:t>
      </w:r>
      <w:r w:rsidRPr="00D575D7">
        <w:rPr>
          <w:rFonts w:ascii="Cambria Math" w:hAnsi="Cambria Math" w:cs="Cambria Math"/>
          <w:b/>
          <w:bCs/>
        </w:rPr>
        <w:t>‐</w:t>
      </w:r>
      <w:r w:rsidRPr="00D575D7">
        <w:rPr>
          <w:b/>
          <w:bCs/>
        </w:rPr>
        <w:t>Category Insights</w:t>
      </w:r>
    </w:p>
    <w:p w14:paraId="1CA28884" w14:textId="77777777" w:rsidR="00D575D7" w:rsidRPr="00D575D7" w:rsidRDefault="00D575D7" w:rsidP="00D575D7">
      <w:r w:rsidRPr="00D575D7">
        <w:rPr>
          <w:b/>
          <w:bCs/>
        </w:rPr>
        <w:t>Pedestrians (</w:t>
      </w:r>
      <w:hyperlink r:id="rId5" w:history="1">
        <w:r w:rsidRPr="00D575D7">
          <w:rPr>
            <w:rStyle w:val="Hyperlink"/>
            <w:b/>
            <w:bCs/>
          </w:rPr>
          <w:t>AP@0.5</w:t>
        </w:r>
      </w:hyperlink>
      <w:r w:rsidRPr="00D575D7">
        <w:rPr>
          <w:b/>
          <w:bCs/>
        </w:rPr>
        <w:t>)</w:t>
      </w:r>
    </w:p>
    <w:tbl>
      <w:tblPr>
        <w:tblW w:w="0" w:type="auto"/>
        <w:tblLayout w:type="fixed"/>
        <w:tblLook w:val="06A0" w:firstRow="1" w:lastRow="0" w:firstColumn="1" w:lastColumn="0" w:noHBand="1" w:noVBand="1"/>
      </w:tblPr>
      <w:tblGrid>
        <w:gridCol w:w="1690"/>
        <w:gridCol w:w="1040"/>
        <w:gridCol w:w="1299"/>
        <w:gridCol w:w="1040"/>
      </w:tblGrid>
      <w:tr w:rsidR="00D575D7" w:rsidRPr="00D575D7" w14:paraId="2A80B0A7" w14:textId="77777777" w:rsidTr="00D575D7">
        <w:trPr>
          <w:trHeight w:val="300"/>
        </w:trPr>
        <w:tc>
          <w:tcPr>
            <w:tcW w:w="1690" w:type="dxa"/>
            <w:vAlign w:val="center"/>
            <w:hideMark/>
          </w:tcPr>
          <w:p w14:paraId="225BFDA8" w14:textId="77777777" w:rsidR="00D575D7" w:rsidRPr="00D575D7" w:rsidRDefault="00D575D7" w:rsidP="00D575D7">
            <w:r w:rsidRPr="00D575D7">
              <w:rPr>
                <w:b/>
                <w:bCs/>
              </w:rPr>
              <w:t>View / Metric</w:t>
            </w:r>
          </w:p>
        </w:tc>
        <w:tc>
          <w:tcPr>
            <w:tcW w:w="1040" w:type="dxa"/>
            <w:vAlign w:val="center"/>
            <w:hideMark/>
          </w:tcPr>
          <w:p w14:paraId="3E1ED75F" w14:textId="77777777" w:rsidR="00D575D7" w:rsidRPr="00D575D7" w:rsidRDefault="00D575D7" w:rsidP="00D575D7">
            <w:r w:rsidRPr="00D575D7">
              <w:rPr>
                <w:b/>
                <w:bCs/>
              </w:rPr>
              <w:t>Easy</w:t>
            </w:r>
          </w:p>
        </w:tc>
        <w:tc>
          <w:tcPr>
            <w:tcW w:w="1299" w:type="dxa"/>
            <w:vAlign w:val="center"/>
            <w:hideMark/>
          </w:tcPr>
          <w:p w14:paraId="403919F9" w14:textId="77777777" w:rsidR="00D575D7" w:rsidRPr="00D575D7" w:rsidRDefault="00D575D7" w:rsidP="00D575D7">
            <w:r w:rsidRPr="00D575D7">
              <w:rPr>
                <w:b/>
                <w:bCs/>
              </w:rPr>
              <w:t>Moderate</w:t>
            </w:r>
          </w:p>
        </w:tc>
        <w:tc>
          <w:tcPr>
            <w:tcW w:w="1040" w:type="dxa"/>
            <w:vAlign w:val="center"/>
            <w:hideMark/>
          </w:tcPr>
          <w:p w14:paraId="69A643B7" w14:textId="77777777" w:rsidR="00D575D7" w:rsidRPr="00D575D7" w:rsidRDefault="00D575D7" w:rsidP="00D575D7">
            <w:r w:rsidRPr="00D575D7">
              <w:rPr>
                <w:b/>
                <w:bCs/>
              </w:rPr>
              <w:t>Hard</w:t>
            </w:r>
          </w:p>
        </w:tc>
      </w:tr>
      <w:tr w:rsidR="00D575D7" w:rsidRPr="00D575D7" w14:paraId="60C13FDB" w14:textId="77777777" w:rsidTr="00D575D7">
        <w:trPr>
          <w:trHeight w:val="300"/>
        </w:trPr>
        <w:tc>
          <w:tcPr>
            <w:tcW w:w="1690" w:type="dxa"/>
            <w:vAlign w:val="center"/>
            <w:hideMark/>
          </w:tcPr>
          <w:p w14:paraId="2605C319" w14:textId="77777777" w:rsidR="00D575D7" w:rsidRPr="00D575D7" w:rsidRDefault="00D575D7" w:rsidP="00D575D7">
            <w:r w:rsidRPr="00D575D7">
              <w:rPr>
                <w:b/>
                <w:bCs/>
              </w:rPr>
              <w:t>2D bbox AP</w:t>
            </w:r>
          </w:p>
        </w:tc>
        <w:tc>
          <w:tcPr>
            <w:tcW w:w="1040" w:type="dxa"/>
            <w:vAlign w:val="center"/>
            <w:hideMark/>
          </w:tcPr>
          <w:p w14:paraId="461A540C" w14:textId="34B75F39" w:rsidR="00D575D7" w:rsidRPr="00D575D7" w:rsidRDefault="00D575D7" w:rsidP="00D575D7">
            <w:r>
              <w:t>73.54</w:t>
            </w:r>
            <w:r w:rsidRPr="00D575D7">
              <w:t>%</w:t>
            </w:r>
          </w:p>
        </w:tc>
        <w:tc>
          <w:tcPr>
            <w:tcW w:w="1299" w:type="dxa"/>
            <w:vAlign w:val="center"/>
            <w:hideMark/>
          </w:tcPr>
          <w:p w14:paraId="7B173283" w14:textId="34F5A35E" w:rsidR="00D575D7" w:rsidRPr="00D575D7" w:rsidRDefault="00D575D7" w:rsidP="00D575D7">
            <w:r>
              <w:t>65.83</w:t>
            </w:r>
            <w:r w:rsidRPr="00D575D7">
              <w:t>%</w:t>
            </w:r>
          </w:p>
        </w:tc>
        <w:tc>
          <w:tcPr>
            <w:tcW w:w="1040" w:type="dxa"/>
            <w:vAlign w:val="center"/>
            <w:hideMark/>
          </w:tcPr>
          <w:p w14:paraId="43F9C9D8" w14:textId="38409677" w:rsidR="00D575D7" w:rsidRPr="00D575D7" w:rsidRDefault="00D575D7" w:rsidP="00D575D7">
            <w:r>
              <w:t>62.27</w:t>
            </w:r>
            <w:r w:rsidRPr="00D575D7">
              <w:t>%</w:t>
            </w:r>
          </w:p>
        </w:tc>
      </w:tr>
      <w:tr w:rsidR="00D575D7" w:rsidRPr="00D575D7" w14:paraId="1FD507DA" w14:textId="77777777" w:rsidTr="00D575D7">
        <w:trPr>
          <w:trHeight w:val="300"/>
        </w:trPr>
        <w:tc>
          <w:tcPr>
            <w:tcW w:w="1690" w:type="dxa"/>
            <w:vAlign w:val="center"/>
            <w:hideMark/>
          </w:tcPr>
          <w:p w14:paraId="70BB8CF9" w14:textId="77777777" w:rsidR="00D575D7" w:rsidRPr="00D575D7" w:rsidRDefault="00D575D7" w:rsidP="00D575D7">
            <w:r w:rsidRPr="00D575D7">
              <w:rPr>
                <w:b/>
                <w:bCs/>
              </w:rPr>
              <w:t>AOS</w:t>
            </w:r>
          </w:p>
        </w:tc>
        <w:tc>
          <w:tcPr>
            <w:tcW w:w="1040" w:type="dxa"/>
            <w:vAlign w:val="center"/>
            <w:hideMark/>
          </w:tcPr>
          <w:p w14:paraId="661C132F" w14:textId="66C8559E" w:rsidR="00D575D7" w:rsidRPr="00D575D7" w:rsidRDefault="00D575D7" w:rsidP="00D575D7">
            <w:r>
              <w:t>71.29</w:t>
            </w:r>
            <w:r w:rsidRPr="00D575D7">
              <w:t>%</w:t>
            </w:r>
          </w:p>
        </w:tc>
        <w:tc>
          <w:tcPr>
            <w:tcW w:w="1299" w:type="dxa"/>
            <w:vAlign w:val="center"/>
            <w:hideMark/>
          </w:tcPr>
          <w:p w14:paraId="5E18CD1C" w14:textId="0F3D054A" w:rsidR="00D575D7" w:rsidRPr="00D575D7" w:rsidRDefault="00D575D7" w:rsidP="00D575D7">
            <w:r>
              <w:t>63.17</w:t>
            </w:r>
            <w:r w:rsidRPr="00D575D7">
              <w:t>%</w:t>
            </w:r>
          </w:p>
        </w:tc>
        <w:tc>
          <w:tcPr>
            <w:tcW w:w="1040" w:type="dxa"/>
            <w:vAlign w:val="center"/>
            <w:hideMark/>
          </w:tcPr>
          <w:p w14:paraId="78819F9B" w14:textId="22F3CBA6" w:rsidR="00D575D7" w:rsidRPr="00D575D7" w:rsidRDefault="00D575D7" w:rsidP="00D575D7">
            <w:r>
              <w:t>59.48</w:t>
            </w:r>
            <w:r w:rsidRPr="00D575D7">
              <w:t>%</w:t>
            </w:r>
          </w:p>
        </w:tc>
      </w:tr>
      <w:tr w:rsidR="00D575D7" w:rsidRPr="00D575D7" w14:paraId="5F81C3BD" w14:textId="77777777" w:rsidTr="00D575D7">
        <w:trPr>
          <w:trHeight w:val="300"/>
        </w:trPr>
        <w:tc>
          <w:tcPr>
            <w:tcW w:w="1690" w:type="dxa"/>
            <w:vAlign w:val="center"/>
            <w:hideMark/>
          </w:tcPr>
          <w:p w14:paraId="4A9B0A7D" w14:textId="77777777" w:rsidR="00D575D7" w:rsidRPr="00D575D7" w:rsidRDefault="00D575D7" w:rsidP="00D575D7">
            <w:r w:rsidRPr="00D575D7">
              <w:rPr>
                <w:b/>
                <w:bCs/>
              </w:rPr>
              <w:t>BEV AP</w:t>
            </w:r>
          </w:p>
        </w:tc>
        <w:tc>
          <w:tcPr>
            <w:tcW w:w="1040" w:type="dxa"/>
            <w:vAlign w:val="center"/>
            <w:hideMark/>
          </w:tcPr>
          <w:p w14:paraId="38EE4483" w14:textId="1BC9B00B" w:rsidR="00D575D7" w:rsidRPr="00D575D7" w:rsidRDefault="00D575D7" w:rsidP="00D575D7">
            <w:r>
              <w:t>67.51</w:t>
            </w:r>
            <w:r w:rsidRPr="00D575D7">
              <w:t>%</w:t>
            </w:r>
          </w:p>
        </w:tc>
        <w:tc>
          <w:tcPr>
            <w:tcW w:w="1299" w:type="dxa"/>
            <w:vAlign w:val="center"/>
            <w:hideMark/>
          </w:tcPr>
          <w:p w14:paraId="27C72D08" w14:textId="33ED7C1F" w:rsidR="00D575D7" w:rsidRPr="00D575D7" w:rsidRDefault="00D575D7" w:rsidP="00D575D7">
            <w:r>
              <w:t>60.27</w:t>
            </w:r>
            <w:r w:rsidRPr="00D575D7">
              <w:t>%</w:t>
            </w:r>
          </w:p>
        </w:tc>
        <w:tc>
          <w:tcPr>
            <w:tcW w:w="1040" w:type="dxa"/>
            <w:vAlign w:val="center"/>
            <w:hideMark/>
          </w:tcPr>
          <w:p w14:paraId="1F1764C6" w14:textId="6469ADD7" w:rsidR="00D575D7" w:rsidRPr="00D575D7" w:rsidRDefault="00D575D7" w:rsidP="00D575D7">
            <w:r w:rsidRPr="00D575D7">
              <w:t>5</w:t>
            </w:r>
            <w:r>
              <w:t>4.09</w:t>
            </w:r>
            <w:r w:rsidRPr="00D575D7">
              <w:t>%</w:t>
            </w:r>
          </w:p>
        </w:tc>
      </w:tr>
      <w:tr w:rsidR="00D575D7" w:rsidRPr="00D575D7" w14:paraId="07F465E5" w14:textId="77777777" w:rsidTr="00D575D7">
        <w:trPr>
          <w:trHeight w:val="300"/>
        </w:trPr>
        <w:tc>
          <w:tcPr>
            <w:tcW w:w="1690" w:type="dxa"/>
            <w:vAlign w:val="center"/>
            <w:hideMark/>
          </w:tcPr>
          <w:p w14:paraId="103F1243" w14:textId="77777777" w:rsidR="00D575D7" w:rsidRPr="00D575D7" w:rsidRDefault="00D575D7" w:rsidP="00D575D7">
            <w:r w:rsidRPr="00D575D7">
              <w:rPr>
                <w:b/>
                <w:bCs/>
              </w:rPr>
              <w:t>3D AP</w:t>
            </w:r>
          </w:p>
        </w:tc>
        <w:tc>
          <w:tcPr>
            <w:tcW w:w="1040" w:type="dxa"/>
            <w:vAlign w:val="center"/>
            <w:hideMark/>
          </w:tcPr>
          <w:p w14:paraId="5EAC5DB1" w14:textId="7B51B0A8" w:rsidR="00D575D7" w:rsidRPr="00D575D7" w:rsidRDefault="00D575D7" w:rsidP="00D575D7">
            <w:r>
              <w:t>61.84</w:t>
            </w:r>
            <w:r w:rsidRPr="00D575D7">
              <w:t>%</w:t>
            </w:r>
          </w:p>
        </w:tc>
        <w:tc>
          <w:tcPr>
            <w:tcW w:w="1299" w:type="dxa"/>
            <w:vAlign w:val="center"/>
            <w:hideMark/>
          </w:tcPr>
          <w:p w14:paraId="159348D6" w14:textId="1AC64984" w:rsidR="00D575D7" w:rsidRPr="00D575D7" w:rsidRDefault="00D575D7" w:rsidP="00D575D7">
            <w:r>
              <w:t>57.02</w:t>
            </w:r>
            <w:r w:rsidRPr="00D575D7">
              <w:t>%</w:t>
            </w:r>
          </w:p>
        </w:tc>
        <w:tc>
          <w:tcPr>
            <w:tcW w:w="1040" w:type="dxa"/>
            <w:vAlign w:val="center"/>
            <w:hideMark/>
          </w:tcPr>
          <w:p w14:paraId="4E5E050B" w14:textId="1EA5E281" w:rsidR="00D575D7" w:rsidRPr="00D575D7" w:rsidRDefault="00D575D7" w:rsidP="00D575D7">
            <w:r>
              <w:t>51.15</w:t>
            </w:r>
            <w:r w:rsidRPr="00D575D7">
              <w:t>%</w:t>
            </w:r>
          </w:p>
        </w:tc>
      </w:tr>
    </w:tbl>
    <w:p w14:paraId="45F5AF13" w14:textId="68FE5077" w:rsidR="00D575D7" w:rsidRPr="00D575D7" w:rsidRDefault="00823C25" w:rsidP="00D575D7">
      <w:pPr>
        <w:numPr>
          <w:ilvl w:val="0"/>
          <w:numId w:val="3"/>
        </w:numPr>
      </w:pPr>
      <w:r>
        <w:rPr>
          <w:b/>
          <w:bCs/>
        </w:rPr>
        <w:t>Lowest 3D AP</w:t>
      </w:r>
      <w:r w:rsidR="00D575D7" w:rsidRPr="00D575D7">
        <w:t xml:space="preserve">: </w:t>
      </w:r>
      <w:r>
        <w:t>Pedestrians are small with widely varied shapes compared to cars and bicycles. The model had the hardest time identifying them.</w:t>
      </w:r>
    </w:p>
    <w:p w14:paraId="479CCE2C" w14:textId="77777777" w:rsidR="00D575D7" w:rsidRPr="00D575D7" w:rsidRDefault="00D575D7" w:rsidP="00D575D7">
      <w:r w:rsidRPr="00D575D7">
        <w:rPr>
          <w:b/>
          <w:bCs/>
        </w:rPr>
        <w:t>Cyclists (</w:t>
      </w:r>
      <w:hyperlink r:id="rId6" w:history="1">
        <w:r w:rsidRPr="00D575D7">
          <w:rPr>
            <w:rStyle w:val="Hyperlink"/>
            <w:b/>
            <w:bCs/>
          </w:rPr>
          <w:t>AP@0.5</w:t>
        </w:r>
      </w:hyperlink>
      <w:r w:rsidRPr="00D575D7">
        <w:rPr>
          <w:b/>
          <w:bCs/>
        </w:rPr>
        <w:t>)</w:t>
      </w:r>
    </w:p>
    <w:tbl>
      <w:tblPr>
        <w:tblW w:w="0" w:type="auto"/>
        <w:tblLayout w:type="fixed"/>
        <w:tblLook w:val="06A0" w:firstRow="1" w:lastRow="0" w:firstColumn="1" w:lastColumn="0" w:noHBand="1" w:noVBand="1"/>
      </w:tblPr>
      <w:tblGrid>
        <w:gridCol w:w="1690"/>
        <w:gridCol w:w="1040"/>
        <w:gridCol w:w="1299"/>
        <w:gridCol w:w="1040"/>
      </w:tblGrid>
      <w:tr w:rsidR="00D575D7" w:rsidRPr="00D575D7" w14:paraId="04C491BE" w14:textId="77777777" w:rsidTr="00D575D7">
        <w:trPr>
          <w:trHeight w:val="300"/>
        </w:trPr>
        <w:tc>
          <w:tcPr>
            <w:tcW w:w="1690" w:type="dxa"/>
            <w:vAlign w:val="center"/>
            <w:hideMark/>
          </w:tcPr>
          <w:p w14:paraId="659E43B3" w14:textId="77777777" w:rsidR="00D575D7" w:rsidRPr="00D575D7" w:rsidRDefault="00D575D7" w:rsidP="00D575D7">
            <w:r w:rsidRPr="00D575D7">
              <w:rPr>
                <w:b/>
                <w:bCs/>
              </w:rPr>
              <w:t>View / Metric</w:t>
            </w:r>
          </w:p>
        </w:tc>
        <w:tc>
          <w:tcPr>
            <w:tcW w:w="1040" w:type="dxa"/>
            <w:vAlign w:val="center"/>
            <w:hideMark/>
          </w:tcPr>
          <w:p w14:paraId="03982271" w14:textId="77777777" w:rsidR="00D575D7" w:rsidRPr="00D575D7" w:rsidRDefault="00D575D7" w:rsidP="00D575D7">
            <w:r w:rsidRPr="00D575D7">
              <w:rPr>
                <w:b/>
                <w:bCs/>
              </w:rPr>
              <w:t>Easy</w:t>
            </w:r>
          </w:p>
        </w:tc>
        <w:tc>
          <w:tcPr>
            <w:tcW w:w="1299" w:type="dxa"/>
            <w:vAlign w:val="center"/>
            <w:hideMark/>
          </w:tcPr>
          <w:p w14:paraId="7E6DF88D" w14:textId="77777777" w:rsidR="00D575D7" w:rsidRPr="00D575D7" w:rsidRDefault="00D575D7" w:rsidP="00D575D7">
            <w:r w:rsidRPr="00D575D7">
              <w:rPr>
                <w:b/>
                <w:bCs/>
              </w:rPr>
              <w:t>Moderate</w:t>
            </w:r>
          </w:p>
        </w:tc>
        <w:tc>
          <w:tcPr>
            <w:tcW w:w="1040" w:type="dxa"/>
            <w:vAlign w:val="center"/>
            <w:hideMark/>
          </w:tcPr>
          <w:p w14:paraId="5BE53F91" w14:textId="77777777" w:rsidR="00D575D7" w:rsidRPr="00D575D7" w:rsidRDefault="00D575D7" w:rsidP="00D575D7">
            <w:r w:rsidRPr="00D575D7">
              <w:rPr>
                <w:b/>
                <w:bCs/>
              </w:rPr>
              <w:t>Hard</w:t>
            </w:r>
          </w:p>
        </w:tc>
      </w:tr>
      <w:tr w:rsidR="00D575D7" w:rsidRPr="00D575D7" w14:paraId="4A8B0376" w14:textId="77777777" w:rsidTr="00D575D7">
        <w:trPr>
          <w:trHeight w:val="300"/>
        </w:trPr>
        <w:tc>
          <w:tcPr>
            <w:tcW w:w="1690" w:type="dxa"/>
            <w:vAlign w:val="center"/>
            <w:hideMark/>
          </w:tcPr>
          <w:p w14:paraId="0417E75D" w14:textId="77777777" w:rsidR="00D575D7" w:rsidRPr="00D575D7" w:rsidRDefault="00D575D7" w:rsidP="00D575D7">
            <w:r w:rsidRPr="00D575D7">
              <w:rPr>
                <w:b/>
                <w:bCs/>
              </w:rPr>
              <w:t>2D bbox AP</w:t>
            </w:r>
          </w:p>
        </w:tc>
        <w:tc>
          <w:tcPr>
            <w:tcW w:w="1040" w:type="dxa"/>
            <w:vAlign w:val="center"/>
            <w:hideMark/>
          </w:tcPr>
          <w:p w14:paraId="24139D40" w14:textId="7AF33CE9" w:rsidR="00D575D7" w:rsidRPr="00D575D7" w:rsidRDefault="00D575D7" w:rsidP="00D575D7">
            <w:r>
              <w:t>89.75</w:t>
            </w:r>
            <w:r w:rsidRPr="00D575D7">
              <w:t>%</w:t>
            </w:r>
          </w:p>
        </w:tc>
        <w:tc>
          <w:tcPr>
            <w:tcW w:w="1299" w:type="dxa"/>
            <w:vAlign w:val="center"/>
            <w:hideMark/>
          </w:tcPr>
          <w:p w14:paraId="1F845826" w14:textId="33131DDC" w:rsidR="00D575D7" w:rsidRPr="00D575D7" w:rsidRDefault="00D575D7" w:rsidP="00D575D7">
            <w:r>
              <w:t>77.67</w:t>
            </w:r>
            <w:r w:rsidRPr="00D575D7">
              <w:t>%</w:t>
            </w:r>
          </w:p>
        </w:tc>
        <w:tc>
          <w:tcPr>
            <w:tcW w:w="1040" w:type="dxa"/>
            <w:vAlign w:val="center"/>
            <w:hideMark/>
          </w:tcPr>
          <w:p w14:paraId="3336709D" w14:textId="0D9C3FEB" w:rsidR="00D575D7" w:rsidRPr="00D575D7" w:rsidRDefault="00D575D7" w:rsidP="00D575D7">
            <w:r w:rsidRPr="00D575D7">
              <w:t>7</w:t>
            </w:r>
            <w:r>
              <w:t>5.27</w:t>
            </w:r>
            <w:r w:rsidRPr="00D575D7">
              <w:t>%</w:t>
            </w:r>
          </w:p>
        </w:tc>
      </w:tr>
      <w:tr w:rsidR="00D575D7" w:rsidRPr="00D575D7" w14:paraId="393E4C21" w14:textId="77777777" w:rsidTr="00D575D7">
        <w:trPr>
          <w:trHeight w:val="300"/>
        </w:trPr>
        <w:tc>
          <w:tcPr>
            <w:tcW w:w="1690" w:type="dxa"/>
            <w:vAlign w:val="center"/>
            <w:hideMark/>
          </w:tcPr>
          <w:p w14:paraId="5210AA32" w14:textId="77777777" w:rsidR="00D575D7" w:rsidRPr="00D575D7" w:rsidRDefault="00D575D7" w:rsidP="00D575D7">
            <w:r w:rsidRPr="00D575D7">
              <w:rPr>
                <w:b/>
                <w:bCs/>
              </w:rPr>
              <w:t>AOS</w:t>
            </w:r>
          </w:p>
        </w:tc>
        <w:tc>
          <w:tcPr>
            <w:tcW w:w="1040" w:type="dxa"/>
            <w:vAlign w:val="center"/>
            <w:hideMark/>
          </w:tcPr>
          <w:p w14:paraId="645E2251" w14:textId="360F1C5B" w:rsidR="00D575D7" w:rsidRPr="00D575D7" w:rsidRDefault="00D575D7" w:rsidP="00D575D7">
            <w:r>
              <w:t>89.67</w:t>
            </w:r>
            <w:r w:rsidRPr="00D575D7">
              <w:t>%</w:t>
            </w:r>
          </w:p>
        </w:tc>
        <w:tc>
          <w:tcPr>
            <w:tcW w:w="1299" w:type="dxa"/>
            <w:vAlign w:val="center"/>
            <w:hideMark/>
          </w:tcPr>
          <w:p w14:paraId="0A577BAF" w14:textId="51B1F5DB" w:rsidR="00D575D7" w:rsidRPr="00D575D7" w:rsidRDefault="00D575D7" w:rsidP="00D575D7">
            <w:r>
              <w:t>77.20</w:t>
            </w:r>
            <w:r w:rsidRPr="00D575D7">
              <w:t>%</w:t>
            </w:r>
          </w:p>
        </w:tc>
        <w:tc>
          <w:tcPr>
            <w:tcW w:w="1040" w:type="dxa"/>
            <w:vAlign w:val="center"/>
            <w:hideMark/>
          </w:tcPr>
          <w:p w14:paraId="59309E85" w14:textId="125920BC" w:rsidR="00D575D7" w:rsidRPr="00D575D7" w:rsidRDefault="00D575D7" w:rsidP="00D575D7">
            <w:r>
              <w:t>74.70</w:t>
            </w:r>
            <w:r w:rsidRPr="00D575D7">
              <w:t>%</w:t>
            </w:r>
          </w:p>
        </w:tc>
      </w:tr>
      <w:tr w:rsidR="00D575D7" w:rsidRPr="00D575D7" w14:paraId="2CCA9A9D" w14:textId="77777777" w:rsidTr="00D575D7">
        <w:trPr>
          <w:trHeight w:val="300"/>
        </w:trPr>
        <w:tc>
          <w:tcPr>
            <w:tcW w:w="1690" w:type="dxa"/>
            <w:vAlign w:val="center"/>
            <w:hideMark/>
          </w:tcPr>
          <w:p w14:paraId="25FB527A" w14:textId="77777777" w:rsidR="00D575D7" w:rsidRPr="00D575D7" w:rsidRDefault="00D575D7" w:rsidP="00D575D7">
            <w:r w:rsidRPr="00D575D7">
              <w:rPr>
                <w:b/>
                <w:bCs/>
              </w:rPr>
              <w:t>BEV AP</w:t>
            </w:r>
          </w:p>
        </w:tc>
        <w:tc>
          <w:tcPr>
            <w:tcW w:w="1040" w:type="dxa"/>
            <w:vAlign w:val="center"/>
            <w:hideMark/>
          </w:tcPr>
          <w:p w14:paraId="3597C68C" w14:textId="574413EF" w:rsidR="00D575D7" w:rsidRPr="00D575D7" w:rsidRDefault="00D575D7" w:rsidP="00D575D7">
            <w:r>
              <w:t>88.36</w:t>
            </w:r>
            <w:r w:rsidRPr="00D575D7">
              <w:t>%</w:t>
            </w:r>
          </w:p>
        </w:tc>
        <w:tc>
          <w:tcPr>
            <w:tcW w:w="1299" w:type="dxa"/>
            <w:vAlign w:val="center"/>
            <w:hideMark/>
          </w:tcPr>
          <w:p w14:paraId="1AA8B37E" w14:textId="7B6DEB5E" w:rsidR="00D575D7" w:rsidRPr="00D575D7" w:rsidRDefault="00D575D7" w:rsidP="00D575D7">
            <w:r>
              <w:t>74.44</w:t>
            </w:r>
            <w:r w:rsidRPr="00D575D7">
              <w:t>%</w:t>
            </w:r>
          </w:p>
        </w:tc>
        <w:tc>
          <w:tcPr>
            <w:tcW w:w="1040" w:type="dxa"/>
            <w:vAlign w:val="center"/>
            <w:hideMark/>
          </w:tcPr>
          <w:p w14:paraId="54FA98F4" w14:textId="55867B27" w:rsidR="00D575D7" w:rsidRPr="00D575D7" w:rsidRDefault="00D575D7" w:rsidP="00D575D7">
            <w:r>
              <w:t>71.01</w:t>
            </w:r>
            <w:r w:rsidRPr="00D575D7">
              <w:t>%</w:t>
            </w:r>
          </w:p>
        </w:tc>
      </w:tr>
      <w:tr w:rsidR="00D575D7" w:rsidRPr="00D575D7" w14:paraId="1CEF4F2A" w14:textId="77777777" w:rsidTr="00D575D7">
        <w:trPr>
          <w:trHeight w:val="300"/>
        </w:trPr>
        <w:tc>
          <w:tcPr>
            <w:tcW w:w="1690" w:type="dxa"/>
            <w:vAlign w:val="center"/>
            <w:hideMark/>
          </w:tcPr>
          <w:p w14:paraId="739A47EF" w14:textId="77777777" w:rsidR="00D575D7" w:rsidRPr="00D575D7" w:rsidRDefault="00D575D7" w:rsidP="00D575D7">
            <w:r w:rsidRPr="00D575D7">
              <w:rPr>
                <w:b/>
                <w:bCs/>
              </w:rPr>
              <w:lastRenderedPageBreak/>
              <w:t>3D AP</w:t>
            </w:r>
          </w:p>
        </w:tc>
        <w:tc>
          <w:tcPr>
            <w:tcW w:w="1040" w:type="dxa"/>
            <w:vAlign w:val="center"/>
            <w:hideMark/>
          </w:tcPr>
          <w:p w14:paraId="00C67FEF" w14:textId="40B307FB" w:rsidR="00D575D7" w:rsidRPr="00D575D7" w:rsidRDefault="00D575D7" w:rsidP="00D575D7">
            <w:r>
              <w:t>87.72</w:t>
            </w:r>
            <w:r w:rsidRPr="00D575D7">
              <w:t>%</w:t>
            </w:r>
          </w:p>
        </w:tc>
        <w:tc>
          <w:tcPr>
            <w:tcW w:w="1299" w:type="dxa"/>
            <w:vAlign w:val="center"/>
            <w:hideMark/>
          </w:tcPr>
          <w:p w14:paraId="5A269AB6" w14:textId="070F221E" w:rsidR="00D575D7" w:rsidRPr="00D575D7" w:rsidRDefault="00D575D7" w:rsidP="00D575D7">
            <w:r>
              <w:t>72.57</w:t>
            </w:r>
            <w:r w:rsidRPr="00D575D7">
              <w:t>%</w:t>
            </w:r>
          </w:p>
        </w:tc>
        <w:tc>
          <w:tcPr>
            <w:tcW w:w="1040" w:type="dxa"/>
            <w:vAlign w:val="center"/>
            <w:hideMark/>
          </w:tcPr>
          <w:p w14:paraId="160A1C60" w14:textId="56196A83" w:rsidR="00D575D7" w:rsidRPr="00D575D7" w:rsidRDefault="00D575D7" w:rsidP="00D575D7">
            <w:r w:rsidRPr="00D575D7">
              <w:t>6</w:t>
            </w:r>
            <w:r>
              <w:t>9.94</w:t>
            </w:r>
            <w:r w:rsidRPr="00D575D7">
              <w:t>%</w:t>
            </w:r>
          </w:p>
        </w:tc>
      </w:tr>
    </w:tbl>
    <w:p w14:paraId="6ED76A07" w14:textId="31EDA4B8" w:rsidR="00D575D7" w:rsidRPr="00D575D7" w:rsidRDefault="00823C25" w:rsidP="00D575D7">
      <w:pPr>
        <w:numPr>
          <w:ilvl w:val="0"/>
          <w:numId w:val="4"/>
        </w:numPr>
      </w:pPr>
      <w:r>
        <w:t>Tracks with other models.</w:t>
      </w:r>
    </w:p>
    <w:p w14:paraId="590B8C45" w14:textId="52B6A955" w:rsidR="00D575D7" w:rsidRPr="00D575D7" w:rsidRDefault="00D575D7" w:rsidP="00D575D7">
      <w:r w:rsidRPr="00D575D7">
        <w:rPr>
          <w:b/>
          <w:bCs/>
        </w:rPr>
        <w:t>Cars (</w:t>
      </w:r>
      <w:hyperlink r:id="rId7" w:history="1">
        <w:r w:rsidRPr="00D575D7">
          <w:rPr>
            <w:rStyle w:val="Hyperlink"/>
            <w:b/>
            <w:bCs/>
          </w:rPr>
          <w:t>AP@0.7</w:t>
        </w:r>
      </w:hyperlink>
      <w:r w:rsidRPr="00D575D7">
        <w:rPr>
          <w:b/>
          <w:bCs/>
        </w:rPr>
        <w:t>)</w:t>
      </w:r>
    </w:p>
    <w:tbl>
      <w:tblPr>
        <w:tblW w:w="0" w:type="auto"/>
        <w:tblLayout w:type="fixed"/>
        <w:tblLook w:val="06A0" w:firstRow="1" w:lastRow="0" w:firstColumn="1" w:lastColumn="0" w:noHBand="1" w:noVBand="1"/>
      </w:tblPr>
      <w:tblGrid>
        <w:gridCol w:w="1690"/>
        <w:gridCol w:w="1040"/>
        <w:gridCol w:w="1299"/>
        <w:gridCol w:w="1040"/>
      </w:tblGrid>
      <w:tr w:rsidR="00D575D7" w:rsidRPr="00D575D7" w14:paraId="06C86EA8" w14:textId="77777777" w:rsidTr="00D575D7">
        <w:trPr>
          <w:trHeight w:val="300"/>
        </w:trPr>
        <w:tc>
          <w:tcPr>
            <w:tcW w:w="1690" w:type="dxa"/>
            <w:vAlign w:val="center"/>
            <w:hideMark/>
          </w:tcPr>
          <w:p w14:paraId="2B112B7A" w14:textId="77777777" w:rsidR="00D575D7" w:rsidRPr="00D575D7" w:rsidRDefault="00D575D7" w:rsidP="00D575D7">
            <w:r w:rsidRPr="00D575D7">
              <w:rPr>
                <w:b/>
                <w:bCs/>
              </w:rPr>
              <w:t>View / Metric</w:t>
            </w:r>
          </w:p>
        </w:tc>
        <w:tc>
          <w:tcPr>
            <w:tcW w:w="1040" w:type="dxa"/>
            <w:vAlign w:val="center"/>
            <w:hideMark/>
          </w:tcPr>
          <w:p w14:paraId="4CBDBD30" w14:textId="77777777" w:rsidR="00D575D7" w:rsidRPr="00D575D7" w:rsidRDefault="00D575D7" w:rsidP="00D575D7">
            <w:r w:rsidRPr="00D575D7">
              <w:rPr>
                <w:b/>
                <w:bCs/>
              </w:rPr>
              <w:t>Easy</w:t>
            </w:r>
          </w:p>
        </w:tc>
        <w:tc>
          <w:tcPr>
            <w:tcW w:w="1299" w:type="dxa"/>
            <w:vAlign w:val="center"/>
            <w:hideMark/>
          </w:tcPr>
          <w:p w14:paraId="260FBA6C" w14:textId="77777777" w:rsidR="00D575D7" w:rsidRPr="00D575D7" w:rsidRDefault="00D575D7" w:rsidP="00D575D7">
            <w:r w:rsidRPr="00D575D7">
              <w:rPr>
                <w:b/>
                <w:bCs/>
              </w:rPr>
              <w:t>Moderate</w:t>
            </w:r>
          </w:p>
        </w:tc>
        <w:tc>
          <w:tcPr>
            <w:tcW w:w="1040" w:type="dxa"/>
            <w:vAlign w:val="center"/>
            <w:hideMark/>
          </w:tcPr>
          <w:p w14:paraId="446F8EDC" w14:textId="77777777" w:rsidR="00D575D7" w:rsidRPr="00D575D7" w:rsidRDefault="00D575D7" w:rsidP="00D575D7">
            <w:r w:rsidRPr="00D575D7">
              <w:rPr>
                <w:b/>
                <w:bCs/>
              </w:rPr>
              <w:t>Hard</w:t>
            </w:r>
          </w:p>
        </w:tc>
      </w:tr>
      <w:tr w:rsidR="00D575D7" w:rsidRPr="00D575D7" w14:paraId="5F6143EC" w14:textId="77777777" w:rsidTr="00D575D7">
        <w:trPr>
          <w:trHeight w:val="300"/>
        </w:trPr>
        <w:tc>
          <w:tcPr>
            <w:tcW w:w="1690" w:type="dxa"/>
            <w:vAlign w:val="center"/>
            <w:hideMark/>
          </w:tcPr>
          <w:p w14:paraId="5249E99D" w14:textId="77777777" w:rsidR="00D575D7" w:rsidRPr="00D575D7" w:rsidRDefault="00D575D7" w:rsidP="00D575D7">
            <w:r w:rsidRPr="00D575D7">
              <w:rPr>
                <w:b/>
                <w:bCs/>
              </w:rPr>
              <w:t>2D bbox AP</w:t>
            </w:r>
          </w:p>
        </w:tc>
        <w:tc>
          <w:tcPr>
            <w:tcW w:w="1040" w:type="dxa"/>
            <w:vAlign w:val="center"/>
            <w:hideMark/>
          </w:tcPr>
          <w:p w14:paraId="789409EB" w14:textId="78FFC6E9" w:rsidR="00D575D7" w:rsidRPr="00D575D7" w:rsidRDefault="00D575D7" w:rsidP="00D575D7">
            <w:r w:rsidRPr="00D575D7">
              <w:t>90.</w:t>
            </w:r>
            <w:r>
              <w:t>52</w:t>
            </w:r>
            <w:r w:rsidRPr="00D575D7">
              <w:t>%</w:t>
            </w:r>
          </w:p>
        </w:tc>
        <w:tc>
          <w:tcPr>
            <w:tcW w:w="1299" w:type="dxa"/>
            <w:vAlign w:val="center"/>
            <w:hideMark/>
          </w:tcPr>
          <w:p w14:paraId="624D6D10" w14:textId="26498610" w:rsidR="00D575D7" w:rsidRPr="00D575D7" w:rsidRDefault="00D575D7" w:rsidP="00D575D7">
            <w:r w:rsidRPr="00D575D7">
              <w:t>89.</w:t>
            </w:r>
            <w:r>
              <w:t>2</w:t>
            </w:r>
            <w:r w:rsidRPr="00D575D7">
              <w:t>3%</w:t>
            </w:r>
          </w:p>
        </w:tc>
        <w:tc>
          <w:tcPr>
            <w:tcW w:w="1040" w:type="dxa"/>
            <w:vAlign w:val="center"/>
            <w:hideMark/>
          </w:tcPr>
          <w:p w14:paraId="4F5DDFD8" w14:textId="0B9A8B17" w:rsidR="00D575D7" w:rsidRPr="00D575D7" w:rsidRDefault="00D575D7" w:rsidP="00D575D7">
            <w:r w:rsidRPr="00D575D7">
              <w:t>8</w:t>
            </w:r>
            <w:r>
              <w:t>8</w:t>
            </w:r>
            <w:r w:rsidRPr="00D575D7">
              <w:t>.</w:t>
            </w:r>
            <w:r>
              <w:t>94</w:t>
            </w:r>
            <w:r w:rsidRPr="00D575D7">
              <w:t>%</w:t>
            </w:r>
          </w:p>
        </w:tc>
      </w:tr>
      <w:tr w:rsidR="00D575D7" w:rsidRPr="00D575D7" w14:paraId="768FEF61" w14:textId="77777777" w:rsidTr="00D575D7">
        <w:trPr>
          <w:trHeight w:val="300"/>
        </w:trPr>
        <w:tc>
          <w:tcPr>
            <w:tcW w:w="1690" w:type="dxa"/>
            <w:vAlign w:val="center"/>
            <w:hideMark/>
          </w:tcPr>
          <w:p w14:paraId="3177A880" w14:textId="77777777" w:rsidR="00D575D7" w:rsidRPr="00D575D7" w:rsidRDefault="00D575D7" w:rsidP="00D575D7">
            <w:r w:rsidRPr="00D575D7">
              <w:rPr>
                <w:b/>
                <w:bCs/>
              </w:rPr>
              <w:t>AOS</w:t>
            </w:r>
          </w:p>
        </w:tc>
        <w:tc>
          <w:tcPr>
            <w:tcW w:w="1040" w:type="dxa"/>
            <w:vAlign w:val="center"/>
            <w:hideMark/>
          </w:tcPr>
          <w:p w14:paraId="56880254" w14:textId="28C753A7" w:rsidR="00D575D7" w:rsidRPr="00D575D7" w:rsidRDefault="00D575D7" w:rsidP="00D575D7">
            <w:r w:rsidRPr="00D575D7">
              <w:t>90.</w:t>
            </w:r>
            <w:r>
              <w:t>52</w:t>
            </w:r>
            <w:r w:rsidRPr="00D575D7">
              <w:t>%</w:t>
            </w:r>
          </w:p>
        </w:tc>
        <w:tc>
          <w:tcPr>
            <w:tcW w:w="1299" w:type="dxa"/>
            <w:vAlign w:val="center"/>
            <w:hideMark/>
          </w:tcPr>
          <w:p w14:paraId="3ACE2376" w14:textId="08CB521A" w:rsidR="00D575D7" w:rsidRPr="00D575D7" w:rsidRDefault="00D575D7" w:rsidP="00D575D7">
            <w:r w:rsidRPr="00D575D7">
              <w:t>8</w:t>
            </w:r>
            <w:r>
              <w:t>9</w:t>
            </w:r>
            <w:r w:rsidRPr="00D575D7">
              <w:t>.</w:t>
            </w:r>
            <w:r>
              <w:t>13</w:t>
            </w:r>
            <w:r w:rsidRPr="00D575D7">
              <w:t>%</w:t>
            </w:r>
          </w:p>
        </w:tc>
        <w:tc>
          <w:tcPr>
            <w:tcW w:w="1040" w:type="dxa"/>
            <w:vAlign w:val="center"/>
            <w:hideMark/>
          </w:tcPr>
          <w:p w14:paraId="113342A2" w14:textId="57C72532" w:rsidR="00D575D7" w:rsidRPr="00D575D7" w:rsidRDefault="00D575D7" w:rsidP="00D575D7">
            <w:r w:rsidRPr="00D575D7">
              <w:t>8</w:t>
            </w:r>
            <w:r>
              <w:t>8</w:t>
            </w:r>
            <w:r w:rsidRPr="00D575D7">
              <w:t>.7</w:t>
            </w:r>
            <w:r>
              <w:t>8</w:t>
            </w:r>
            <w:r w:rsidRPr="00D575D7">
              <w:t>%</w:t>
            </w:r>
          </w:p>
        </w:tc>
      </w:tr>
      <w:tr w:rsidR="00D575D7" w:rsidRPr="00D575D7" w14:paraId="12C996F3" w14:textId="77777777" w:rsidTr="00D575D7">
        <w:trPr>
          <w:trHeight w:val="300"/>
        </w:trPr>
        <w:tc>
          <w:tcPr>
            <w:tcW w:w="1690" w:type="dxa"/>
            <w:vAlign w:val="center"/>
            <w:hideMark/>
          </w:tcPr>
          <w:p w14:paraId="0ADF54BA" w14:textId="77777777" w:rsidR="00D575D7" w:rsidRPr="00D575D7" w:rsidRDefault="00D575D7" w:rsidP="00D575D7">
            <w:r w:rsidRPr="00D575D7">
              <w:rPr>
                <w:b/>
                <w:bCs/>
              </w:rPr>
              <w:t>BEV AP</w:t>
            </w:r>
          </w:p>
        </w:tc>
        <w:tc>
          <w:tcPr>
            <w:tcW w:w="1040" w:type="dxa"/>
            <w:vAlign w:val="center"/>
            <w:hideMark/>
          </w:tcPr>
          <w:p w14:paraId="34C21A0B" w14:textId="1FA3CE99" w:rsidR="00D575D7" w:rsidRPr="00D575D7" w:rsidRDefault="00D575D7" w:rsidP="00D575D7">
            <w:r w:rsidRPr="00D575D7">
              <w:t>89.</w:t>
            </w:r>
            <w:r>
              <w:t>81</w:t>
            </w:r>
            <w:r w:rsidRPr="00D575D7">
              <w:t>%</w:t>
            </w:r>
          </w:p>
        </w:tc>
        <w:tc>
          <w:tcPr>
            <w:tcW w:w="1299" w:type="dxa"/>
            <w:vAlign w:val="center"/>
            <w:hideMark/>
          </w:tcPr>
          <w:p w14:paraId="156DF3DC" w14:textId="21A16682" w:rsidR="00D575D7" w:rsidRPr="00D575D7" w:rsidRDefault="00D575D7" w:rsidP="00D575D7">
            <w:r w:rsidRPr="00D575D7">
              <w:t>87.</w:t>
            </w:r>
            <w:r>
              <w:t>12</w:t>
            </w:r>
            <w:r w:rsidRPr="00D575D7">
              <w:t>%</w:t>
            </w:r>
          </w:p>
        </w:tc>
        <w:tc>
          <w:tcPr>
            <w:tcW w:w="1040" w:type="dxa"/>
            <w:vAlign w:val="center"/>
            <w:hideMark/>
          </w:tcPr>
          <w:p w14:paraId="36310CEC" w14:textId="51E7E5EB" w:rsidR="00D575D7" w:rsidRPr="00D575D7" w:rsidRDefault="00D575D7" w:rsidP="00D575D7">
            <w:r w:rsidRPr="00D575D7">
              <w:t>85.</w:t>
            </w:r>
            <w:r>
              <w:t>84</w:t>
            </w:r>
            <w:r w:rsidRPr="00D575D7">
              <w:t>%</w:t>
            </w:r>
          </w:p>
        </w:tc>
      </w:tr>
      <w:tr w:rsidR="00D575D7" w:rsidRPr="00D575D7" w14:paraId="253D4AE3" w14:textId="77777777" w:rsidTr="00D575D7">
        <w:trPr>
          <w:trHeight w:val="300"/>
        </w:trPr>
        <w:tc>
          <w:tcPr>
            <w:tcW w:w="1690" w:type="dxa"/>
            <w:vAlign w:val="center"/>
            <w:hideMark/>
          </w:tcPr>
          <w:p w14:paraId="5AB09A41" w14:textId="77777777" w:rsidR="00D575D7" w:rsidRPr="00D575D7" w:rsidRDefault="00D575D7" w:rsidP="00D575D7">
            <w:r w:rsidRPr="00D575D7">
              <w:rPr>
                <w:b/>
                <w:bCs/>
              </w:rPr>
              <w:t>3D AP</w:t>
            </w:r>
          </w:p>
        </w:tc>
        <w:tc>
          <w:tcPr>
            <w:tcW w:w="1040" w:type="dxa"/>
            <w:vAlign w:val="center"/>
            <w:hideMark/>
          </w:tcPr>
          <w:p w14:paraId="441A8F5F" w14:textId="52616A23" w:rsidR="00D575D7" w:rsidRPr="00D575D7" w:rsidRDefault="00D575D7" w:rsidP="00D575D7">
            <w:r w:rsidRPr="00D575D7">
              <w:t>8</w:t>
            </w:r>
            <w:r>
              <w:t>8</w:t>
            </w:r>
            <w:r w:rsidRPr="00D575D7">
              <w:t>.</w:t>
            </w:r>
            <w:r>
              <w:t>38</w:t>
            </w:r>
            <w:r w:rsidRPr="00D575D7">
              <w:t>%</w:t>
            </w:r>
          </w:p>
        </w:tc>
        <w:tc>
          <w:tcPr>
            <w:tcW w:w="1299" w:type="dxa"/>
            <w:vAlign w:val="center"/>
            <w:hideMark/>
          </w:tcPr>
          <w:p w14:paraId="49FB0E98" w14:textId="17BB5AE2" w:rsidR="00D575D7" w:rsidRPr="00D575D7" w:rsidRDefault="00D575D7" w:rsidP="00D575D7">
            <w:r w:rsidRPr="00D575D7">
              <w:t>7</w:t>
            </w:r>
            <w:r>
              <w:t>8</w:t>
            </w:r>
            <w:r w:rsidRPr="00D575D7">
              <w:t>.</w:t>
            </w:r>
            <w:r>
              <w:t>19</w:t>
            </w:r>
            <w:r w:rsidRPr="00D575D7">
              <w:t>%</w:t>
            </w:r>
          </w:p>
        </w:tc>
        <w:tc>
          <w:tcPr>
            <w:tcW w:w="1040" w:type="dxa"/>
            <w:vAlign w:val="center"/>
            <w:hideMark/>
          </w:tcPr>
          <w:p w14:paraId="3F6BCA51" w14:textId="4F314BF1" w:rsidR="00D575D7" w:rsidRPr="00D575D7" w:rsidRDefault="00D575D7" w:rsidP="00D575D7">
            <w:r w:rsidRPr="00D575D7">
              <w:t>7</w:t>
            </w:r>
            <w:r>
              <w:t>7</w:t>
            </w:r>
            <w:r w:rsidRPr="00D575D7">
              <w:t>.</w:t>
            </w:r>
            <w:r>
              <w:t>72</w:t>
            </w:r>
            <w:r w:rsidRPr="00D575D7">
              <w:t>%</w:t>
            </w:r>
          </w:p>
        </w:tc>
      </w:tr>
    </w:tbl>
    <w:p w14:paraId="185E9CD9" w14:textId="6D06E877" w:rsidR="00D575D7" w:rsidRPr="00D575D7" w:rsidRDefault="00D575D7" w:rsidP="00D07CBA">
      <w:pPr>
        <w:numPr>
          <w:ilvl w:val="0"/>
          <w:numId w:val="5"/>
        </w:numPr>
      </w:pPr>
      <w:r w:rsidRPr="00D575D7">
        <w:rPr>
          <w:b/>
          <w:bCs/>
        </w:rPr>
        <w:t>3D</w:t>
      </w:r>
      <w:r w:rsidR="00597C0E" w:rsidRPr="00597C0E">
        <w:rPr>
          <w:b/>
          <w:bCs/>
        </w:rPr>
        <w:t xml:space="preserve"> vs 2D</w:t>
      </w:r>
      <w:r w:rsidRPr="00D575D7">
        <w:t xml:space="preserve">: </w:t>
      </w:r>
      <w:r w:rsidR="00597C0E">
        <w:t>While both 3D and 2D have very high precision in easy situations it is much harder to capture the location of an object in 3D space as conditions affect visibility of objects. There is a much larger drop for 3D AP than 2D AP.</w:t>
      </w:r>
    </w:p>
    <w:p w14:paraId="00B40069" w14:textId="77777777" w:rsidR="00D575D7" w:rsidRPr="00D575D7" w:rsidRDefault="00D575D7" w:rsidP="00D575D7">
      <w:r w:rsidRPr="00D575D7">
        <w:rPr>
          <w:b/>
          <w:bCs/>
        </w:rPr>
        <w:t>3. Overall Summary</w:t>
      </w:r>
    </w:p>
    <w:tbl>
      <w:tblPr>
        <w:tblW w:w="0" w:type="auto"/>
        <w:tblLayout w:type="fixed"/>
        <w:tblLook w:val="06A0" w:firstRow="1" w:lastRow="0" w:firstColumn="1" w:lastColumn="0" w:noHBand="1" w:noVBand="1"/>
      </w:tblPr>
      <w:tblGrid>
        <w:gridCol w:w="1527"/>
        <w:gridCol w:w="1040"/>
        <w:gridCol w:w="1299"/>
        <w:gridCol w:w="1040"/>
      </w:tblGrid>
      <w:tr w:rsidR="00D575D7" w:rsidRPr="00D575D7" w14:paraId="0946D647" w14:textId="77777777" w:rsidTr="00D575D7">
        <w:trPr>
          <w:trHeight w:val="300"/>
        </w:trPr>
        <w:tc>
          <w:tcPr>
            <w:tcW w:w="1527" w:type="dxa"/>
            <w:vAlign w:val="center"/>
            <w:hideMark/>
          </w:tcPr>
          <w:p w14:paraId="14806BE0" w14:textId="77777777" w:rsidR="00D575D7" w:rsidRPr="00D575D7" w:rsidRDefault="00D575D7" w:rsidP="00D575D7">
            <w:r w:rsidRPr="00D575D7">
              <w:rPr>
                <w:b/>
                <w:bCs/>
              </w:rPr>
              <w:t>Metric</w:t>
            </w:r>
          </w:p>
        </w:tc>
        <w:tc>
          <w:tcPr>
            <w:tcW w:w="1040" w:type="dxa"/>
            <w:vAlign w:val="center"/>
            <w:hideMark/>
          </w:tcPr>
          <w:p w14:paraId="1DB73EE7" w14:textId="77777777" w:rsidR="00D575D7" w:rsidRPr="00D575D7" w:rsidRDefault="00D575D7" w:rsidP="00D575D7">
            <w:r w:rsidRPr="00D575D7">
              <w:rPr>
                <w:b/>
                <w:bCs/>
              </w:rPr>
              <w:t>Easy</w:t>
            </w:r>
          </w:p>
        </w:tc>
        <w:tc>
          <w:tcPr>
            <w:tcW w:w="1299" w:type="dxa"/>
            <w:vAlign w:val="center"/>
            <w:hideMark/>
          </w:tcPr>
          <w:p w14:paraId="19F4F0AF" w14:textId="77777777" w:rsidR="00D575D7" w:rsidRPr="00D575D7" w:rsidRDefault="00D575D7" w:rsidP="00D575D7">
            <w:r w:rsidRPr="00D575D7">
              <w:rPr>
                <w:b/>
                <w:bCs/>
              </w:rPr>
              <w:t>Moderate</w:t>
            </w:r>
          </w:p>
        </w:tc>
        <w:tc>
          <w:tcPr>
            <w:tcW w:w="1040" w:type="dxa"/>
            <w:vAlign w:val="center"/>
            <w:hideMark/>
          </w:tcPr>
          <w:p w14:paraId="64C233B7" w14:textId="77777777" w:rsidR="00D575D7" w:rsidRPr="00D575D7" w:rsidRDefault="00D575D7" w:rsidP="00D575D7">
            <w:r w:rsidRPr="00D575D7">
              <w:rPr>
                <w:b/>
                <w:bCs/>
              </w:rPr>
              <w:t>Hard</w:t>
            </w:r>
          </w:p>
        </w:tc>
      </w:tr>
      <w:tr w:rsidR="00D575D7" w:rsidRPr="00D575D7" w14:paraId="0FBF52D1" w14:textId="77777777" w:rsidTr="00D575D7">
        <w:trPr>
          <w:trHeight w:val="300"/>
        </w:trPr>
        <w:tc>
          <w:tcPr>
            <w:tcW w:w="1527" w:type="dxa"/>
            <w:vAlign w:val="center"/>
            <w:hideMark/>
          </w:tcPr>
          <w:p w14:paraId="7D97150A" w14:textId="77777777" w:rsidR="00D575D7" w:rsidRPr="00D575D7" w:rsidRDefault="00D575D7" w:rsidP="00D575D7">
            <w:r w:rsidRPr="00D575D7">
              <w:rPr>
                <w:b/>
                <w:bCs/>
              </w:rPr>
              <w:t>2D bbox AP</w:t>
            </w:r>
          </w:p>
        </w:tc>
        <w:tc>
          <w:tcPr>
            <w:tcW w:w="1040" w:type="dxa"/>
            <w:vAlign w:val="center"/>
            <w:hideMark/>
          </w:tcPr>
          <w:p w14:paraId="280F2A21" w14:textId="46CF318A" w:rsidR="00D575D7" w:rsidRPr="00D575D7" w:rsidRDefault="00D575D7" w:rsidP="00D575D7">
            <w:r w:rsidRPr="00D575D7">
              <w:t>8</w:t>
            </w:r>
            <w:r w:rsidR="00597C0E">
              <w:t>4.60</w:t>
            </w:r>
            <w:r w:rsidRPr="00D575D7">
              <w:t>%</w:t>
            </w:r>
          </w:p>
        </w:tc>
        <w:tc>
          <w:tcPr>
            <w:tcW w:w="1299" w:type="dxa"/>
            <w:vAlign w:val="center"/>
            <w:hideMark/>
          </w:tcPr>
          <w:p w14:paraId="68CFF373" w14:textId="53C26D0D" w:rsidR="00D575D7" w:rsidRPr="00D575D7" w:rsidRDefault="00D575D7" w:rsidP="00D575D7">
            <w:r w:rsidRPr="00D575D7">
              <w:t>7</w:t>
            </w:r>
            <w:r w:rsidR="00597C0E">
              <w:t>7</w:t>
            </w:r>
            <w:r w:rsidRPr="00D575D7">
              <w:t>.</w:t>
            </w:r>
            <w:r w:rsidR="00597C0E">
              <w:t>58</w:t>
            </w:r>
            <w:r w:rsidRPr="00D575D7">
              <w:t>%</w:t>
            </w:r>
          </w:p>
        </w:tc>
        <w:tc>
          <w:tcPr>
            <w:tcW w:w="1040" w:type="dxa"/>
            <w:vAlign w:val="center"/>
            <w:hideMark/>
          </w:tcPr>
          <w:p w14:paraId="0CBB7D37" w14:textId="1FFC196D" w:rsidR="00D575D7" w:rsidRPr="00D575D7" w:rsidRDefault="00D575D7" w:rsidP="00D575D7">
            <w:r w:rsidRPr="00D575D7">
              <w:t>7</w:t>
            </w:r>
            <w:r w:rsidR="00597C0E">
              <w:t>5</w:t>
            </w:r>
            <w:r w:rsidRPr="00D575D7">
              <w:t>.4</w:t>
            </w:r>
            <w:r w:rsidR="00597C0E">
              <w:t>9</w:t>
            </w:r>
            <w:r w:rsidRPr="00D575D7">
              <w:t>%</w:t>
            </w:r>
          </w:p>
        </w:tc>
      </w:tr>
      <w:tr w:rsidR="00D575D7" w:rsidRPr="00D575D7" w14:paraId="4FB7F6DD" w14:textId="77777777" w:rsidTr="00D575D7">
        <w:trPr>
          <w:trHeight w:val="300"/>
        </w:trPr>
        <w:tc>
          <w:tcPr>
            <w:tcW w:w="1527" w:type="dxa"/>
            <w:vAlign w:val="center"/>
            <w:hideMark/>
          </w:tcPr>
          <w:p w14:paraId="39D8D95E" w14:textId="77777777" w:rsidR="00D575D7" w:rsidRPr="00D575D7" w:rsidRDefault="00D575D7" w:rsidP="00D575D7">
            <w:r w:rsidRPr="00D575D7">
              <w:rPr>
                <w:b/>
                <w:bCs/>
              </w:rPr>
              <w:t>AOS</w:t>
            </w:r>
          </w:p>
        </w:tc>
        <w:tc>
          <w:tcPr>
            <w:tcW w:w="1040" w:type="dxa"/>
            <w:vAlign w:val="center"/>
            <w:hideMark/>
          </w:tcPr>
          <w:p w14:paraId="4F17C2E4" w14:textId="25380646" w:rsidR="00D575D7" w:rsidRPr="00D575D7" w:rsidRDefault="00597C0E" w:rsidP="00D575D7">
            <w:r>
              <w:t>83</w:t>
            </w:r>
            <w:r w:rsidR="00D575D7" w:rsidRPr="00D575D7">
              <w:t>.</w:t>
            </w:r>
            <w:r>
              <w:t>83</w:t>
            </w:r>
            <w:r w:rsidR="00D575D7" w:rsidRPr="00D575D7">
              <w:t>%</w:t>
            </w:r>
          </w:p>
        </w:tc>
        <w:tc>
          <w:tcPr>
            <w:tcW w:w="1299" w:type="dxa"/>
            <w:vAlign w:val="center"/>
            <w:hideMark/>
          </w:tcPr>
          <w:p w14:paraId="5D9C7334" w14:textId="08D34AC6" w:rsidR="00D575D7" w:rsidRPr="00D575D7" w:rsidRDefault="00597C0E" w:rsidP="00D575D7">
            <w:r>
              <w:t>76</w:t>
            </w:r>
            <w:r w:rsidR="00D575D7" w:rsidRPr="00D575D7">
              <w:t>.</w:t>
            </w:r>
            <w:r>
              <w:t>50</w:t>
            </w:r>
            <w:r w:rsidR="00D575D7" w:rsidRPr="00D575D7">
              <w:t>%</w:t>
            </w:r>
          </w:p>
        </w:tc>
        <w:tc>
          <w:tcPr>
            <w:tcW w:w="1040" w:type="dxa"/>
            <w:vAlign w:val="center"/>
            <w:hideMark/>
          </w:tcPr>
          <w:p w14:paraId="55FC6B94" w14:textId="22E32741" w:rsidR="00D575D7" w:rsidRPr="00D575D7" w:rsidRDefault="00597C0E" w:rsidP="00D575D7">
            <w:r>
              <w:t>74</w:t>
            </w:r>
            <w:r w:rsidR="00D575D7" w:rsidRPr="00D575D7">
              <w:t>.</w:t>
            </w:r>
            <w:r>
              <w:t>32</w:t>
            </w:r>
            <w:r w:rsidR="00D575D7" w:rsidRPr="00D575D7">
              <w:t>%</w:t>
            </w:r>
          </w:p>
        </w:tc>
      </w:tr>
      <w:tr w:rsidR="00D575D7" w:rsidRPr="00D575D7" w14:paraId="2EFEFD33" w14:textId="77777777" w:rsidTr="00D575D7">
        <w:trPr>
          <w:trHeight w:val="300"/>
        </w:trPr>
        <w:tc>
          <w:tcPr>
            <w:tcW w:w="1527" w:type="dxa"/>
            <w:vAlign w:val="center"/>
            <w:hideMark/>
          </w:tcPr>
          <w:p w14:paraId="5F865DEA" w14:textId="77777777" w:rsidR="00D575D7" w:rsidRPr="00D575D7" w:rsidRDefault="00D575D7" w:rsidP="00D575D7">
            <w:r w:rsidRPr="00D575D7">
              <w:rPr>
                <w:b/>
                <w:bCs/>
              </w:rPr>
              <w:t>BEV AP</w:t>
            </w:r>
          </w:p>
        </w:tc>
        <w:tc>
          <w:tcPr>
            <w:tcW w:w="1040" w:type="dxa"/>
            <w:vAlign w:val="center"/>
            <w:hideMark/>
          </w:tcPr>
          <w:p w14:paraId="40CDCDD9" w14:textId="3D431979" w:rsidR="00D575D7" w:rsidRPr="00D575D7" w:rsidRDefault="00597C0E" w:rsidP="00D575D7">
            <w:r>
              <w:t>81.89</w:t>
            </w:r>
            <w:r w:rsidR="00D575D7" w:rsidRPr="00D575D7">
              <w:t>%</w:t>
            </w:r>
          </w:p>
        </w:tc>
        <w:tc>
          <w:tcPr>
            <w:tcW w:w="1299" w:type="dxa"/>
            <w:vAlign w:val="center"/>
            <w:hideMark/>
          </w:tcPr>
          <w:p w14:paraId="325ED0A1" w14:textId="32EBD697" w:rsidR="00D575D7" w:rsidRPr="00D575D7" w:rsidRDefault="00597C0E" w:rsidP="00D575D7">
            <w:r>
              <w:t>73.94</w:t>
            </w:r>
            <w:r w:rsidR="00D575D7" w:rsidRPr="00D575D7">
              <w:t>%</w:t>
            </w:r>
          </w:p>
        </w:tc>
        <w:tc>
          <w:tcPr>
            <w:tcW w:w="1040" w:type="dxa"/>
            <w:vAlign w:val="center"/>
            <w:hideMark/>
          </w:tcPr>
          <w:p w14:paraId="7A767F4F" w14:textId="64A491B1" w:rsidR="00D575D7" w:rsidRPr="00D575D7" w:rsidRDefault="00597C0E" w:rsidP="00D575D7">
            <w:r>
              <w:t>70.31</w:t>
            </w:r>
            <w:r w:rsidR="00D575D7" w:rsidRPr="00D575D7">
              <w:t>%</w:t>
            </w:r>
          </w:p>
        </w:tc>
      </w:tr>
      <w:tr w:rsidR="00D575D7" w:rsidRPr="00D575D7" w14:paraId="19254B1D" w14:textId="77777777" w:rsidTr="00D575D7">
        <w:trPr>
          <w:trHeight w:val="300"/>
        </w:trPr>
        <w:tc>
          <w:tcPr>
            <w:tcW w:w="1527" w:type="dxa"/>
            <w:vAlign w:val="center"/>
            <w:hideMark/>
          </w:tcPr>
          <w:p w14:paraId="07445EFA" w14:textId="77777777" w:rsidR="00D575D7" w:rsidRPr="00D575D7" w:rsidRDefault="00D575D7" w:rsidP="00D575D7">
            <w:r w:rsidRPr="00D575D7">
              <w:rPr>
                <w:b/>
                <w:bCs/>
              </w:rPr>
              <w:t>3D AP</w:t>
            </w:r>
          </w:p>
        </w:tc>
        <w:tc>
          <w:tcPr>
            <w:tcW w:w="1040" w:type="dxa"/>
            <w:vAlign w:val="center"/>
            <w:hideMark/>
          </w:tcPr>
          <w:p w14:paraId="64FC614E" w14:textId="2BFF02EC" w:rsidR="00D575D7" w:rsidRPr="00D575D7" w:rsidRDefault="00597C0E" w:rsidP="00D575D7">
            <w:r>
              <w:t>79.31</w:t>
            </w:r>
            <w:r w:rsidR="00D575D7" w:rsidRPr="00D575D7">
              <w:t>%</w:t>
            </w:r>
          </w:p>
        </w:tc>
        <w:tc>
          <w:tcPr>
            <w:tcW w:w="1299" w:type="dxa"/>
            <w:vAlign w:val="center"/>
            <w:hideMark/>
          </w:tcPr>
          <w:p w14:paraId="412DC7ED" w14:textId="40292704" w:rsidR="00D575D7" w:rsidRPr="00D575D7" w:rsidRDefault="00597C0E" w:rsidP="00D575D7">
            <w:r>
              <w:t>69.26</w:t>
            </w:r>
            <w:r w:rsidR="00D575D7" w:rsidRPr="00D575D7">
              <w:t>%</w:t>
            </w:r>
          </w:p>
        </w:tc>
        <w:tc>
          <w:tcPr>
            <w:tcW w:w="1040" w:type="dxa"/>
            <w:vAlign w:val="center"/>
            <w:hideMark/>
          </w:tcPr>
          <w:p w14:paraId="145B99BB" w14:textId="4EF516A8" w:rsidR="00D575D7" w:rsidRPr="00D575D7" w:rsidRDefault="00597C0E" w:rsidP="00D575D7">
            <w:r>
              <w:t>66.27</w:t>
            </w:r>
            <w:r w:rsidR="00D575D7" w:rsidRPr="00D575D7">
              <w:t>%</w:t>
            </w:r>
          </w:p>
        </w:tc>
      </w:tr>
    </w:tbl>
    <w:p w14:paraId="4A03B6C6" w14:textId="77777777" w:rsidR="00513C6E" w:rsidRDefault="00513C6E"/>
    <w:sectPr w:rsidR="00513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360B"/>
    <w:multiLevelType w:val="hybridMultilevel"/>
    <w:tmpl w:val="C7C8DA0A"/>
    <w:lvl w:ilvl="0" w:tplc="335EE60E">
      <w:start w:val="1"/>
      <w:numFmt w:val="bullet"/>
      <w:lvlText w:val=""/>
      <w:lvlJc w:val="left"/>
      <w:pPr>
        <w:ind w:left="720" w:hanging="360"/>
      </w:pPr>
      <w:rPr>
        <w:rFonts w:ascii="Symbol" w:hAnsi="Symbol" w:hint="default"/>
      </w:rPr>
    </w:lvl>
    <w:lvl w:ilvl="1" w:tplc="266EA5FE">
      <w:start w:val="1"/>
      <w:numFmt w:val="bullet"/>
      <w:lvlText w:val="o"/>
      <w:lvlJc w:val="left"/>
      <w:pPr>
        <w:ind w:left="1440" w:hanging="360"/>
      </w:pPr>
      <w:rPr>
        <w:rFonts w:ascii="Courier New" w:hAnsi="Courier New" w:cs="Times New Roman" w:hint="default"/>
      </w:rPr>
    </w:lvl>
    <w:lvl w:ilvl="2" w:tplc="91D2C48E">
      <w:start w:val="1"/>
      <w:numFmt w:val="bullet"/>
      <w:lvlText w:val=""/>
      <w:lvlJc w:val="left"/>
      <w:pPr>
        <w:ind w:left="2160" w:hanging="360"/>
      </w:pPr>
      <w:rPr>
        <w:rFonts w:ascii="Wingdings" w:hAnsi="Wingdings" w:hint="default"/>
      </w:rPr>
    </w:lvl>
    <w:lvl w:ilvl="3" w:tplc="26A02CF8">
      <w:start w:val="1"/>
      <w:numFmt w:val="bullet"/>
      <w:lvlText w:val=""/>
      <w:lvlJc w:val="left"/>
      <w:pPr>
        <w:ind w:left="2880" w:hanging="360"/>
      </w:pPr>
      <w:rPr>
        <w:rFonts w:ascii="Symbol" w:hAnsi="Symbol" w:hint="default"/>
      </w:rPr>
    </w:lvl>
    <w:lvl w:ilvl="4" w:tplc="94D88EEC">
      <w:start w:val="1"/>
      <w:numFmt w:val="bullet"/>
      <w:lvlText w:val="o"/>
      <w:lvlJc w:val="left"/>
      <w:pPr>
        <w:ind w:left="3600" w:hanging="360"/>
      </w:pPr>
      <w:rPr>
        <w:rFonts w:ascii="Courier New" w:hAnsi="Courier New" w:cs="Times New Roman" w:hint="default"/>
      </w:rPr>
    </w:lvl>
    <w:lvl w:ilvl="5" w:tplc="68FAD070">
      <w:start w:val="1"/>
      <w:numFmt w:val="bullet"/>
      <w:lvlText w:val=""/>
      <w:lvlJc w:val="left"/>
      <w:pPr>
        <w:ind w:left="4320" w:hanging="360"/>
      </w:pPr>
      <w:rPr>
        <w:rFonts w:ascii="Wingdings" w:hAnsi="Wingdings" w:hint="default"/>
      </w:rPr>
    </w:lvl>
    <w:lvl w:ilvl="6" w:tplc="FCDE6C94">
      <w:start w:val="1"/>
      <w:numFmt w:val="bullet"/>
      <w:lvlText w:val=""/>
      <w:lvlJc w:val="left"/>
      <w:pPr>
        <w:ind w:left="5040" w:hanging="360"/>
      </w:pPr>
      <w:rPr>
        <w:rFonts w:ascii="Symbol" w:hAnsi="Symbol" w:hint="default"/>
      </w:rPr>
    </w:lvl>
    <w:lvl w:ilvl="7" w:tplc="F9DC004A">
      <w:start w:val="1"/>
      <w:numFmt w:val="bullet"/>
      <w:lvlText w:val="o"/>
      <w:lvlJc w:val="left"/>
      <w:pPr>
        <w:ind w:left="5760" w:hanging="360"/>
      </w:pPr>
      <w:rPr>
        <w:rFonts w:ascii="Courier New" w:hAnsi="Courier New" w:cs="Times New Roman" w:hint="default"/>
      </w:rPr>
    </w:lvl>
    <w:lvl w:ilvl="8" w:tplc="753C0D24">
      <w:start w:val="1"/>
      <w:numFmt w:val="bullet"/>
      <w:lvlText w:val=""/>
      <w:lvlJc w:val="left"/>
      <w:pPr>
        <w:ind w:left="6480" w:hanging="360"/>
      </w:pPr>
      <w:rPr>
        <w:rFonts w:ascii="Wingdings" w:hAnsi="Wingdings" w:hint="default"/>
      </w:rPr>
    </w:lvl>
  </w:abstractNum>
  <w:abstractNum w:abstractNumId="1" w15:restartNumberingAfterBreak="0">
    <w:nsid w:val="1B83EEC4"/>
    <w:multiLevelType w:val="hybridMultilevel"/>
    <w:tmpl w:val="D820E564"/>
    <w:lvl w:ilvl="0" w:tplc="D8F81D6A">
      <w:start w:val="1"/>
      <w:numFmt w:val="bullet"/>
      <w:lvlText w:val=""/>
      <w:lvlJc w:val="left"/>
      <w:pPr>
        <w:ind w:left="720" w:hanging="360"/>
      </w:pPr>
      <w:rPr>
        <w:rFonts w:ascii="Symbol" w:hAnsi="Symbol" w:hint="default"/>
      </w:rPr>
    </w:lvl>
    <w:lvl w:ilvl="1" w:tplc="C4A0B178">
      <w:start w:val="1"/>
      <w:numFmt w:val="bullet"/>
      <w:lvlText w:val="o"/>
      <w:lvlJc w:val="left"/>
      <w:pPr>
        <w:ind w:left="1440" w:hanging="360"/>
      </w:pPr>
      <w:rPr>
        <w:rFonts w:ascii="Courier New" w:hAnsi="Courier New" w:cs="Times New Roman" w:hint="default"/>
      </w:rPr>
    </w:lvl>
    <w:lvl w:ilvl="2" w:tplc="C8A88A58">
      <w:start w:val="1"/>
      <w:numFmt w:val="bullet"/>
      <w:lvlText w:val=""/>
      <w:lvlJc w:val="left"/>
      <w:pPr>
        <w:ind w:left="2160" w:hanging="360"/>
      </w:pPr>
      <w:rPr>
        <w:rFonts w:ascii="Wingdings" w:hAnsi="Wingdings" w:hint="default"/>
      </w:rPr>
    </w:lvl>
    <w:lvl w:ilvl="3" w:tplc="FB68487C">
      <w:start w:val="1"/>
      <w:numFmt w:val="bullet"/>
      <w:lvlText w:val=""/>
      <w:lvlJc w:val="left"/>
      <w:pPr>
        <w:ind w:left="2880" w:hanging="360"/>
      </w:pPr>
      <w:rPr>
        <w:rFonts w:ascii="Symbol" w:hAnsi="Symbol" w:hint="default"/>
      </w:rPr>
    </w:lvl>
    <w:lvl w:ilvl="4" w:tplc="1960D978">
      <w:start w:val="1"/>
      <w:numFmt w:val="bullet"/>
      <w:lvlText w:val="o"/>
      <w:lvlJc w:val="left"/>
      <w:pPr>
        <w:ind w:left="3600" w:hanging="360"/>
      </w:pPr>
      <w:rPr>
        <w:rFonts w:ascii="Courier New" w:hAnsi="Courier New" w:cs="Times New Roman" w:hint="default"/>
      </w:rPr>
    </w:lvl>
    <w:lvl w:ilvl="5" w:tplc="6D70FC54">
      <w:start w:val="1"/>
      <w:numFmt w:val="bullet"/>
      <w:lvlText w:val=""/>
      <w:lvlJc w:val="left"/>
      <w:pPr>
        <w:ind w:left="4320" w:hanging="360"/>
      </w:pPr>
      <w:rPr>
        <w:rFonts w:ascii="Wingdings" w:hAnsi="Wingdings" w:hint="default"/>
      </w:rPr>
    </w:lvl>
    <w:lvl w:ilvl="6" w:tplc="CE868A64">
      <w:start w:val="1"/>
      <w:numFmt w:val="bullet"/>
      <w:lvlText w:val=""/>
      <w:lvlJc w:val="left"/>
      <w:pPr>
        <w:ind w:left="5040" w:hanging="360"/>
      </w:pPr>
      <w:rPr>
        <w:rFonts w:ascii="Symbol" w:hAnsi="Symbol" w:hint="default"/>
      </w:rPr>
    </w:lvl>
    <w:lvl w:ilvl="7" w:tplc="BF1E74AE">
      <w:start w:val="1"/>
      <w:numFmt w:val="bullet"/>
      <w:lvlText w:val="o"/>
      <w:lvlJc w:val="left"/>
      <w:pPr>
        <w:ind w:left="5760" w:hanging="360"/>
      </w:pPr>
      <w:rPr>
        <w:rFonts w:ascii="Courier New" w:hAnsi="Courier New" w:cs="Times New Roman" w:hint="default"/>
      </w:rPr>
    </w:lvl>
    <w:lvl w:ilvl="8" w:tplc="B706F50A">
      <w:start w:val="1"/>
      <w:numFmt w:val="bullet"/>
      <w:lvlText w:val=""/>
      <w:lvlJc w:val="left"/>
      <w:pPr>
        <w:ind w:left="6480" w:hanging="360"/>
      </w:pPr>
      <w:rPr>
        <w:rFonts w:ascii="Wingdings" w:hAnsi="Wingdings" w:hint="default"/>
      </w:rPr>
    </w:lvl>
  </w:abstractNum>
  <w:abstractNum w:abstractNumId="2" w15:restartNumberingAfterBreak="0">
    <w:nsid w:val="1DDB2366"/>
    <w:multiLevelType w:val="hybridMultilevel"/>
    <w:tmpl w:val="66F8C0BC"/>
    <w:lvl w:ilvl="0" w:tplc="5D5E339C">
      <w:start w:val="1"/>
      <w:numFmt w:val="decimal"/>
      <w:lvlText w:val="%1."/>
      <w:lvlJc w:val="left"/>
      <w:pPr>
        <w:ind w:left="720" w:hanging="360"/>
      </w:pPr>
    </w:lvl>
    <w:lvl w:ilvl="1" w:tplc="69E4BA4C">
      <w:start w:val="1"/>
      <w:numFmt w:val="lowerLetter"/>
      <w:lvlText w:val="%2."/>
      <w:lvlJc w:val="left"/>
      <w:pPr>
        <w:ind w:left="1440" w:hanging="360"/>
      </w:pPr>
    </w:lvl>
    <w:lvl w:ilvl="2" w:tplc="AD286258">
      <w:start w:val="1"/>
      <w:numFmt w:val="lowerRoman"/>
      <w:lvlText w:val="%3."/>
      <w:lvlJc w:val="right"/>
      <w:pPr>
        <w:ind w:left="2160" w:hanging="180"/>
      </w:pPr>
    </w:lvl>
    <w:lvl w:ilvl="3" w:tplc="51D4CC56">
      <w:start w:val="1"/>
      <w:numFmt w:val="decimal"/>
      <w:lvlText w:val="%4."/>
      <w:lvlJc w:val="left"/>
      <w:pPr>
        <w:ind w:left="2880" w:hanging="360"/>
      </w:pPr>
    </w:lvl>
    <w:lvl w:ilvl="4" w:tplc="7DA23F9C">
      <w:start w:val="1"/>
      <w:numFmt w:val="lowerLetter"/>
      <w:lvlText w:val="%5."/>
      <w:lvlJc w:val="left"/>
      <w:pPr>
        <w:ind w:left="3600" w:hanging="360"/>
      </w:pPr>
    </w:lvl>
    <w:lvl w:ilvl="5" w:tplc="B9EC4738">
      <w:start w:val="1"/>
      <w:numFmt w:val="lowerRoman"/>
      <w:lvlText w:val="%6."/>
      <w:lvlJc w:val="right"/>
      <w:pPr>
        <w:ind w:left="4320" w:hanging="180"/>
      </w:pPr>
    </w:lvl>
    <w:lvl w:ilvl="6" w:tplc="C520CEE2">
      <w:start w:val="1"/>
      <w:numFmt w:val="decimal"/>
      <w:lvlText w:val="%7."/>
      <w:lvlJc w:val="left"/>
      <w:pPr>
        <w:ind w:left="5040" w:hanging="360"/>
      </w:pPr>
    </w:lvl>
    <w:lvl w:ilvl="7" w:tplc="534CED90">
      <w:start w:val="1"/>
      <w:numFmt w:val="lowerLetter"/>
      <w:lvlText w:val="%8."/>
      <w:lvlJc w:val="left"/>
      <w:pPr>
        <w:ind w:left="5760" w:hanging="360"/>
      </w:pPr>
    </w:lvl>
    <w:lvl w:ilvl="8" w:tplc="6136DEA0">
      <w:start w:val="1"/>
      <w:numFmt w:val="lowerRoman"/>
      <w:lvlText w:val="%9."/>
      <w:lvlJc w:val="right"/>
      <w:pPr>
        <w:ind w:left="6480" w:hanging="180"/>
      </w:pPr>
    </w:lvl>
  </w:abstractNum>
  <w:abstractNum w:abstractNumId="3" w15:restartNumberingAfterBreak="0">
    <w:nsid w:val="2168BE9D"/>
    <w:multiLevelType w:val="hybridMultilevel"/>
    <w:tmpl w:val="D76A839A"/>
    <w:lvl w:ilvl="0" w:tplc="2FDC70E8">
      <w:start w:val="1"/>
      <w:numFmt w:val="bullet"/>
      <w:lvlText w:val=""/>
      <w:lvlJc w:val="left"/>
      <w:pPr>
        <w:ind w:left="720" w:hanging="360"/>
      </w:pPr>
      <w:rPr>
        <w:rFonts w:ascii="Symbol" w:hAnsi="Symbol" w:hint="default"/>
      </w:rPr>
    </w:lvl>
    <w:lvl w:ilvl="1" w:tplc="CC8247AC">
      <w:start w:val="1"/>
      <w:numFmt w:val="bullet"/>
      <w:lvlText w:val="o"/>
      <w:lvlJc w:val="left"/>
      <w:pPr>
        <w:ind w:left="1440" w:hanging="360"/>
      </w:pPr>
      <w:rPr>
        <w:rFonts w:ascii="Courier New" w:hAnsi="Courier New" w:cs="Times New Roman" w:hint="default"/>
      </w:rPr>
    </w:lvl>
    <w:lvl w:ilvl="2" w:tplc="24A65530">
      <w:start w:val="1"/>
      <w:numFmt w:val="bullet"/>
      <w:lvlText w:val=""/>
      <w:lvlJc w:val="left"/>
      <w:pPr>
        <w:ind w:left="2160" w:hanging="360"/>
      </w:pPr>
      <w:rPr>
        <w:rFonts w:ascii="Wingdings" w:hAnsi="Wingdings" w:hint="default"/>
      </w:rPr>
    </w:lvl>
    <w:lvl w:ilvl="3" w:tplc="894CD04C">
      <w:start w:val="1"/>
      <w:numFmt w:val="bullet"/>
      <w:lvlText w:val=""/>
      <w:lvlJc w:val="left"/>
      <w:pPr>
        <w:ind w:left="2880" w:hanging="360"/>
      </w:pPr>
      <w:rPr>
        <w:rFonts w:ascii="Symbol" w:hAnsi="Symbol" w:hint="default"/>
      </w:rPr>
    </w:lvl>
    <w:lvl w:ilvl="4" w:tplc="8C18E68E">
      <w:start w:val="1"/>
      <w:numFmt w:val="bullet"/>
      <w:lvlText w:val="o"/>
      <w:lvlJc w:val="left"/>
      <w:pPr>
        <w:ind w:left="3600" w:hanging="360"/>
      </w:pPr>
      <w:rPr>
        <w:rFonts w:ascii="Courier New" w:hAnsi="Courier New" w:cs="Times New Roman" w:hint="default"/>
      </w:rPr>
    </w:lvl>
    <w:lvl w:ilvl="5" w:tplc="835CFCFA">
      <w:start w:val="1"/>
      <w:numFmt w:val="bullet"/>
      <w:lvlText w:val=""/>
      <w:lvlJc w:val="left"/>
      <w:pPr>
        <w:ind w:left="4320" w:hanging="360"/>
      </w:pPr>
      <w:rPr>
        <w:rFonts w:ascii="Wingdings" w:hAnsi="Wingdings" w:hint="default"/>
      </w:rPr>
    </w:lvl>
    <w:lvl w:ilvl="6" w:tplc="8690D1AE">
      <w:start w:val="1"/>
      <w:numFmt w:val="bullet"/>
      <w:lvlText w:val=""/>
      <w:lvlJc w:val="left"/>
      <w:pPr>
        <w:ind w:left="5040" w:hanging="360"/>
      </w:pPr>
      <w:rPr>
        <w:rFonts w:ascii="Symbol" w:hAnsi="Symbol" w:hint="default"/>
      </w:rPr>
    </w:lvl>
    <w:lvl w:ilvl="7" w:tplc="99302FA4">
      <w:start w:val="1"/>
      <w:numFmt w:val="bullet"/>
      <w:lvlText w:val="o"/>
      <w:lvlJc w:val="left"/>
      <w:pPr>
        <w:ind w:left="5760" w:hanging="360"/>
      </w:pPr>
      <w:rPr>
        <w:rFonts w:ascii="Courier New" w:hAnsi="Courier New" w:cs="Times New Roman" w:hint="default"/>
      </w:rPr>
    </w:lvl>
    <w:lvl w:ilvl="8" w:tplc="FAB6BD98">
      <w:start w:val="1"/>
      <w:numFmt w:val="bullet"/>
      <w:lvlText w:val=""/>
      <w:lvlJc w:val="left"/>
      <w:pPr>
        <w:ind w:left="6480" w:hanging="360"/>
      </w:pPr>
      <w:rPr>
        <w:rFonts w:ascii="Wingdings" w:hAnsi="Wingdings" w:hint="default"/>
      </w:rPr>
    </w:lvl>
  </w:abstractNum>
  <w:abstractNum w:abstractNumId="4" w15:restartNumberingAfterBreak="0">
    <w:nsid w:val="32B15A5D"/>
    <w:multiLevelType w:val="hybridMultilevel"/>
    <w:tmpl w:val="C7908440"/>
    <w:lvl w:ilvl="0" w:tplc="3468DC4C">
      <w:start w:val="1"/>
      <w:numFmt w:val="bullet"/>
      <w:lvlText w:val=""/>
      <w:lvlJc w:val="left"/>
      <w:pPr>
        <w:ind w:left="720" w:hanging="360"/>
      </w:pPr>
      <w:rPr>
        <w:rFonts w:ascii="Symbol" w:hAnsi="Symbol" w:hint="default"/>
      </w:rPr>
    </w:lvl>
    <w:lvl w:ilvl="1" w:tplc="0C66F222">
      <w:start w:val="1"/>
      <w:numFmt w:val="bullet"/>
      <w:lvlText w:val="o"/>
      <w:lvlJc w:val="left"/>
      <w:pPr>
        <w:ind w:left="1440" w:hanging="360"/>
      </w:pPr>
      <w:rPr>
        <w:rFonts w:ascii="Courier New" w:hAnsi="Courier New" w:cs="Times New Roman" w:hint="default"/>
      </w:rPr>
    </w:lvl>
    <w:lvl w:ilvl="2" w:tplc="B04CEAB8">
      <w:start w:val="1"/>
      <w:numFmt w:val="bullet"/>
      <w:lvlText w:val=""/>
      <w:lvlJc w:val="left"/>
      <w:pPr>
        <w:ind w:left="2160" w:hanging="360"/>
      </w:pPr>
      <w:rPr>
        <w:rFonts w:ascii="Wingdings" w:hAnsi="Wingdings" w:hint="default"/>
      </w:rPr>
    </w:lvl>
    <w:lvl w:ilvl="3" w:tplc="541C2CFA">
      <w:start w:val="1"/>
      <w:numFmt w:val="bullet"/>
      <w:lvlText w:val=""/>
      <w:lvlJc w:val="left"/>
      <w:pPr>
        <w:ind w:left="2880" w:hanging="360"/>
      </w:pPr>
      <w:rPr>
        <w:rFonts w:ascii="Symbol" w:hAnsi="Symbol" w:hint="default"/>
      </w:rPr>
    </w:lvl>
    <w:lvl w:ilvl="4" w:tplc="CDFA9F96">
      <w:start w:val="1"/>
      <w:numFmt w:val="bullet"/>
      <w:lvlText w:val="o"/>
      <w:lvlJc w:val="left"/>
      <w:pPr>
        <w:ind w:left="3600" w:hanging="360"/>
      </w:pPr>
      <w:rPr>
        <w:rFonts w:ascii="Courier New" w:hAnsi="Courier New" w:cs="Times New Roman" w:hint="default"/>
      </w:rPr>
    </w:lvl>
    <w:lvl w:ilvl="5" w:tplc="EEBAE542">
      <w:start w:val="1"/>
      <w:numFmt w:val="bullet"/>
      <w:lvlText w:val=""/>
      <w:lvlJc w:val="left"/>
      <w:pPr>
        <w:ind w:left="4320" w:hanging="360"/>
      </w:pPr>
      <w:rPr>
        <w:rFonts w:ascii="Wingdings" w:hAnsi="Wingdings" w:hint="default"/>
      </w:rPr>
    </w:lvl>
    <w:lvl w:ilvl="6" w:tplc="9C6C4E52">
      <w:start w:val="1"/>
      <w:numFmt w:val="bullet"/>
      <w:lvlText w:val=""/>
      <w:lvlJc w:val="left"/>
      <w:pPr>
        <w:ind w:left="5040" w:hanging="360"/>
      </w:pPr>
      <w:rPr>
        <w:rFonts w:ascii="Symbol" w:hAnsi="Symbol" w:hint="default"/>
      </w:rPr>
    </w:lvl>
    <w:lvl w:ilvl="7" w:tplc="09E8582E">
      <w:start w:val="1"/>
      <w:numFmt w:val="bullet"/>
      <w:lvlText w:val="o"/>
      <w:lvlJc w:val="left"/>
      <w:pPr>
        <w:ind w:left="5760" w:hanging="360"/>
      </w:pPr>
      <w:rPr>
        <w:rFonts w:ascii="Courier New" w:hAnsi="Courier New" w:cs="Times New Roman" w:hint="default"/>
      </w:rPr>
    </w:lvl>
    <w:lvl w:ilvl="8" w:tplc="5FC47DC4">
      <w:start w:val="1"/>
      <w:numFmt w:val="bullet"/>
      <w:lvlText w:val=""/>
      <w:lvlJc w:val="left"/>
      <w:pPr>
        <w:ind w:left="6480" w:hanging="360"/>
      </w:pPr>
      <w:rPr>
        <w:rFonts w:ascii="Wingdings" w:hAnsi="Wingdings" w:hint="default"/>
      </w:rPr>
    </w:lvl>
  </w:abstractNum>
  <w:abstractNum w:abstractNumId="5" w15:restartNumberingAfterBreak="0">
    <w:nsid w:val="4EB44B04"/>
    <w:multiLevelType w:val="hybridMultilevel"/>
    <w:tmpl w:val="05F87C5E"/>
    <w:lvl w:ilvl="0" w:tplc="B964D2E0">
      <w:start w:val="1"/>
      <w:numFmt w:val="bullet"/>
      <w:lvlText w:val=""/>
      <w:lvlJc w:val="left"/>
      <w:pPr>
        <w:ind w:left="720" w:hanging="360"/>
      </w:pPr>
      <w:rPr>
        <w:rFonts w:ascii="Symbol" w:hAnsi="Symbol" w:hint="default"/>
      </w:rPr>
    </w:lvl>
    <w:lvl w:ilvl="1" w:tplc="7BB89D18">
      <w:start w:val="1"/>
      <w:numFmt w:val="bullet"/>
      <w:lvlText w:val="o"/>
      <w:lvlJc w:val="left"/>
      <w:pPr>
        <w:ind w:left="1440" w:hanging="360"/>
      </w:pPr>
      <w:rPr>
        <w:rFonts w:ascii="Courier New" w:hAnsi="Courier New" w:cs="Times New Roman" w:hint="default"/>
      </w:rPr>
    </w:lvl>
    <w:lvl w:ilvl="2" w:tplc="21FE66C8">
      <w:start w:val="1"/>
      <w:numFmt w:val="bullet"/>
      <w:lvlText w:val=""/>
      <w:lvlJc w:val="left"/>
      <w:pPr>
        <w:ind w:left="2160" w:hanging="360"/>
      </w:pPr>
      <w:rPr>
        <w:rFonts w:ascii="Wingdings" w:hAnsi="Wingdings" w:hint="default"/>
      </w:rPr>
    </w:lvl>
    <w:lvl w:ilvl="3" w:tplc="86EC96E2">
      <w:start w:val="1"/>
      <w:numFmt w:val="bullet"/>
      <w:lvlText w:val=""/>
      <w:lvlJc w:val="left"/>
      <w:pPr>
        <w:ind w:left="2880" w:hanging="360"/>
      </w:pPr>
      <w:rPr>
        <w:rFonts w:ascii="Symbol" w:hAnsi="Symbol" w:hint="default"/>
      </w:rPr>
    </w:lvl>
    <w:lvl w:ilvl="4" w:tplc="F7EEFC8E">
      <w:start w:val="1"/>
      <w:numFmt w:val="bullet"/>
      <w:lvlText w:val="o"/>
      <w:lvlJc w:val="left"/>
      <w:pPr>
        <w:ind w:left="3600" w:hanging="360"/>
      </w:pPr>
      <w:rPr>
        <w:rFonts w:ascii="Courier New" w:hAnsi="Courier New" w:cs="Times New Roman" w:hint="default"/>
      </w:rPr>
    </w:lvl>
    <w:lvl w:ilvl="5" w:tplc="7C728B40">
      <w:start w:val="1"/>
      <w:numFmt w:val="bullet"/>
      <w:lvlText w:val=""/>
      <w:lvlJc w:val="left"/>
      <w:pPr>
        <w:ind w:left="4320" w:hanging="360"/>
      </w:pPr>
      <w:rPr>
        <w:rFonts w:ascii="Wingdings" w:hAnsi="Wingdings" w:hint="default"/>
      </w:rPr>
    </w:lvl>
    <w:lvl w:ilvl="6" w:tplc="B06487CC">
      <w:start w:val="1"/>
      <w:numFmt w:val="bullet"/>
      <w:lvlText w:val=""/>
      <w:lvlJc w:val="left"/>
      <w:pPr>
        <w:ind w:left="5040" w:hanging="360"/>
      </w:pPr>
      <w:rPr>
        <w:rFonts w:ascii="Symbol" w:hAnsi="Symbol" w:hint="default"/>
      </w:rPr>
    </w:lvl>
    <w:lvl w:ilvl="7" w:tplc="26A4A6C6">
      <w:start w:val="1"/>
      <w:numFmt w:val="bullet"/>
      <w:lvlText w:val="o"/>
      <w:lvlJc w:val="left"/>
      <w:pPr>
        <w:ind w:left="5760" w:hanging="360"/>
      </w:pPr>
      <w:rPr>
        <w:rFonts w:ascii="Courier New" w:hAnsi="Courier New" w:cs="Times New Roman" w:hint="default"/>
      </w:rPr>
    </w:lvl>
    <w:lvl w:ilvl="8" w:tplc="8F7CFEC8">
      <w:start w:val="1"/>
      <w:numFmt w:val="bullet"/>
      <w:lvlText w:val=""/>
      <w:lvlJc w:val="left"/>
      <w:pPr>
        <w:ind w:left="6480" w:hanging="360"/>
      </w:pPr>
      <w:rPr>
        <w:rFonts w:ascii="Wingdings" w:hAnsi="Wingdings" w:hint="default"/>
      </w:rPr>
    </w:lvl>
  </w:abstractNum>
  <w:abstractNum w:abstractNumId="6" w15:restartNumberingAfterBreak="0">
    <w:nsid w:val="6A4A53FC"/>
    <w:multiLevelType w:val="hybridMultilevel"/>
    <w:tmpl w:val="64A0D1D6"/>
    <w:lvl w:ilvl="0" w:tplc="BB02E94A">
      <w:start w:val="1"/>
      <w:numFmt w:val="bullet"/>
      <w:lvlText w:val=""/>
      <w:lvlJc w:val="left"/>
      <w:pPr>
        <w:ind w:left="720" w:hanging="360"/>
      </w:pPr>
      <w:rPr>
        <w:rFonts w:ascii="Symbol" w:hAnsi="Symbol" w:hint="default"/>
      </w:rPr>
    </w:lvl>
    <w:lvl w:ilvl="1" w:tplc="413AA1C4">
      <w:start w:val="1"/>
      <w:numFmt w:val="bullet"/>
      <w:lvlText w:val="o"/>
      <w:lvlJc w:val="left"/>
      <w:pPr>
        <w:ind w:left="1440" w:hanging="360"/>
      </w:pPr>
      <w:rPr>
        <w:rFonts w:ascii="Courier New" w:hAnsi="Courier New" w:cs="Times New Roman" w:hint="default"/>
      </w:rPr>
    </w:lvl>
    <w:lvl w:ilvl="2" w:tplc="8954FA54">
      <w:start w:val="1"/>
      <w:numFmt w:val="bullet"/>
      <w:lvlText w:val=""/>
      <w:lvlJc w:val="left"/>
      <w:pPr>
        <w:ind w:left="2160" w:hanging="360"/>
      </w:pPr>
      <w:rPr>
        <w:rFonts w:ascii="Wingdings" w:hAnsi="Wingdings" w:hint="default"/>
      </w:rPr>
    </w:lvl>
    <w:lvl w:ilvl="3" w:tplc="2C0C57EA">
      <w:start w:val="1"/>
      <w:numFmt w:val="bullet"/>
      <w:lvlText w:val=""/>
      <w:lvlJc w:val="left"/>
      <w:pPr>
        <w:ind w:left="2880" w:hanging="360"/>
      </w:pPr>
      <w:rPr>
        <w:rFonts w:ascii="Symbol" w:hAnsi="Symbol" w:hint="default"/>
      </w:rPr>
    </w:lvl>
    <w:lvl w:ilvl="4" w:tplc="1E201702">
      <w:start w:val="1"/>
      <w:numFmt w:val="bullet"/>
      <w:lvlText w:val="o"/>
      <w:lvlJc w:val="left"/>
      <w:pPr>
        <w:ind w:left="3600" w:hanging="360"/>
      </w:pPr>
      <w:rPr>
        <w:rFonts w:ascii="Courier New" w:hAnsi="Courier New" w:cs="Times New Roman" w:hint="default"/>
      </w:rPr>
    </w:lvl>
    <w:lvl w:ilvl="5" w:tplc="308A8FF4">
      <w:start w:val="1"/>
      <w:numFmt w:val="bullet"/>
      <w:lvlText w:val=""/>
      <w:lvlJc w:val="left"/>
      <w:pPr>
        <w:ind w:left="4320" w:hanging="360"/>
      </w:pPr>
      <w:rPr>
        <w:rFonts w:ascii="Wingdings" w:hAnsi="Wingdings" w:hint="default"/>
      </w:rPr>
    </w:lvl>
    <w:lvl w:ilvl="6" w:tplc="2F44C384">
      <w:start w:val="1"/>
      <w:numFmt w:val="bullet"/>
      <w:lvlText w:val=""/>
      <w:lvlJc w:val="left"/>
      <w:pPr>
        <w:ind w:left="5040" w:hanging="360"/>
      </w:pPr>
      <w:rPr>
        <w:rFonts w:ascii="Symbol" w:hAnsi="Symbol" w:hint="default"/>
      </w:rPr>
    </w:lvl>
    <w:lvl w:ilvl="7" w:tplc="1C901BE2">
      <w:start w:val="1"/>
      <w:numFmt w:val="bullet"/>
      <w:lvlText w:val="o"/>
      <w:lvlJc w:val="left"/>
      <w:pPr>
        <w:ind w:left="5760" w:hanging="360"/>
      </w:pPr>
      <w:rPr>
        <w:rFonts w:ascii="Courier New" w:hAnsi="Courier New" w:cs="Times New Roman" w:hint="default"/>
      </w:rPr>
    </w:lvl>
    <w:lvl w:ilvl="8" w:tplc="11FC5B58">
      <w:start w:val="1"/>
      <w:numFmt w:val="bullet"/>
      <w:lvlText w:val=""/>
      <w:lvlJc w:val="left"/>
      <w:pPr>
        <w:ind w:left="6480" w:hanging="360"/>
      </w:pPr>
      <w:rPr>
        <w:rFonts w:ascii="Wingdings" w:hAnsi="Wingdings" w:hint="default"/>
      </w:rPr>
    </w:lvl>
  </w:abstractNum>
  <w:num w:numId="1" w16cid:durableId="427389148">
    <w:abstractNumId w:val="5"/>
    <w:lvlOverride w:ilvl="0"/>
    <w:lvlOverride w:ilvl="1"/>
    <w:lvlOverride w:ilvl="2"/>
    <w:lvlOverride w:ilvl="3"/>
    <w:lvlOverride w:ilvl="4"/>
    <w:lvlOverride w:ilvl="5"/>
    <w:lvlOverride w:ilvl="6"/>
    <w:lvlOverride w:ilvl="7"/>
    <w:lvlOverride w:ilvl="8"/>
  </w:num>
  <w:num w:numId="2" w16cid:durableId="775370594">
    <w:abstractNumId w:val="0"/>
    <w:lvlOverride w:ilvl="0"/>
    <w:lvlOverride w:ilvl="1"/>
    <w:lvlOverride w:ilvl="2"/>
    <w:lvlOverride w:ilvl="3"/>
    <w:lvlOverride w:ilvl="4"/>
    <w:lvlOverride w:ilvl="5"/>
    <w:lvlOverride w:ilvl="6"/>
    <w:lvlOverride w:ilvl="7"/>
    <w:lvlOverride w:ilvl="8"/>
  </w:num>
  <w:num w:numId="3" w16cid:durableId="2065106559">
    <w:abstractNumId w:val="1"/>
    <w:lvlOverride w:ilvl="0"/>
    <w:lvlOverride w:ilvl="1"/>
    <w:lvlOverride w:ilvl="2"/>
    <w:lvlOverride w:ilvl="3"/>
    <w:lvlOverride w:ilvl="4"/>
    <w:lvlOverride w:ilvl="5"/>
    <w:lvlOverride w:ilvl="6"/>
    <w:lvlOverride w:ilvl="7"/>
    <w:lvlOverride w:ilvl="8"/>
  </w:num>
  <w:num w:numId="4" w16cid:durableId="1421484731">
    <w:abstractNumId w:val="3"/>
    <w:lvlOverride w:ilvl="0"/>
    <w:lvlOverride w:ilvl="1"/>
    <w:lvlOverride w:ilvl="2"/>
    <w:lvlOverride w:ilvl="3"/>
    <w:lvlOverride w:ilvl="4"/>
    <w:lvlOverride w:ilvl="5"/>
    <w:lvlOverride w:ilvl="6"/>
    <w:lvlOverride w:ilvl="7"/>
    <w:lvlOverride w:ilvl="8"/>
  </w:num>
  <w:num w:numId="5" w16cid:durableId="1774007537">
    <w:abstractNumId w:val="6"/>
    <w:lvlOverride w:ilvl="0"/>
    <w:lvlOverride w:ilvl="1"/>
    <w:lvlOverride w:ilvl="2"/>
    <w:lvlOverride w:ilvl="3"/>
    <w:lvlOverride w:ilvl="4"/>
    <w:lvlOverride w:ilvl="5"/>
    <w:lvlOverride w:ilvl="6"/>
    <w:lvlOverride w:ilvl="7"/>
    <w:lvlOverride w:ilvl="8"/>
  </w:num>
  <w:num w:numId="6" w16cid:durableId="377320256">
    <w:abstractNumId w:val="4"/>
    <w:lvlOverride w:ilvl="0"/>
    <w:lvlOverride w:ilvl="1"/>
    <w:lvlOverride w:ilvl="2"/>
    <w:lvlOverride w:ilvl="3"/>
    <w:lvlOverride w:ilvl="4"/>
    <w:lvlOverride w:ilvl="5"/>
    <w:lvlOverride w:ilvl="6"/>
    <w:lvlOverride w:ilvl="7"/>
    <w:lvlOverride w:ilvl="8"/>
  </w:num>
  <w:num w:numId="7" w16cid:durableId="293340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DE"/>
    <w:rsid w:val="000568DE"/>
    <w:rsid w:val="001B65D1"/>
    <w:rsid w:val="002B6AEA"/>
    <w:rsid w:val="004B0579"/>
    <w:rsid w:val="00513C6E"/>
    <w:rsid w:val="00597C0E"/>
    <w:rsid w:val="007F7639"/>
    <w:rsid w:val="00823C25"/>
    <w:rsid w:val="009059AF"/>
    <w:rsid w:val="00D575D7"/>
    <w:rsid w:val="00D6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5F8C1"/>
  <w15:chartTrackingRefBased/>
  <w15:docId w15:val="{2CACE840-6414-4937-8A11-185A3D37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8DE"/>
    <w:rPr>
      <w:rFonts w:eastAsiaTheme="majorEastAsia" w:cstheme="majorBidi"/>
      <w:color w:val="272727" w:themeColor="text1" w:themeTint="D8"/>
    </w:rPr>
  </w:style>
  <w:style w:type="paragraph" w:styleId="Title">
    <w:name w:val="Title"/>
    <w:basedOn w:val="Normal"/>
    <w:next w:val="Normal"/>
    <w:link w:val="TitleChar"/>
    <w:uiPriority w:val="10"/>
    <w:qFormat/>
    <w:rsid w:val="00056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8DE"/>
    <w:pPr>
      <w:spacing w:before="160"/>
      <w:jc w:val="center"/>
    </w:pPr>
    <w:rPr>
      <w:i/>
      <w:iCs/>
      <w:color w:val="404040" w:themeColor="text1" w:themeTint="BF"/>
    </w:rPr>
  </w:style>
  <w:style w:type="character" w:customStyle="1" w:styleId="QuoteChar">
    <w:name w:val="Quote Char"/>
    <w:basedOn w:val="DefaultParagraphFont"/>
    <w:link w:val="Quote"/>
    <w:uiPriority w:val="29"/>
    <w:rsid w:val="000568DE"/>
    <w:rPr>
      <w:i/>
      <w:iCs/>
      <w:color w:val="404040" w:themeColor="text1" w:themeTint="BF"/>
    </w:rPr>
  </w:style>
  <w:style w:type="paragraph" w:styleId="ListParagraph">
    <w:name w:val="List Paragraph"/>
    <w:basedOn w:val="Normal"/>
    <w:uiPriority w:val="34"/>
    <w:qFormat/>
    <w:rsid w:val="000568DE"/>
    <w:pPr>
      <w:ind w:left="720"/>
      <w:contextualSpacing/>
    </w:pPr>
  </w:style>
  <w:style w:type="character" w:styleId="IntenseEmphasis">
    <w:name w:val="Intense Emphasis"/>
    <w:basedOn w:val="DefaultParagraphFont"/>
    <w:uiPriority w:val="21"/>
    <w:qFormat/>
    <w:rsid w:val="000568DE"/>
    <w:rPr>
      <w:i/>
      <w:iCs/>
      <w:color w:val="0F4761" w:themeColor="accent1" w:themeShade="BF"/>
    </w:rPr>
  </w:style>
  <w:style w:type="paragraph" w:styleId="IntenseQuote">
    <w:name w:val="Intense Quote"/>
    <w:basedOn w:val="Normal"/>
    <w:next w:val="Normal"/>
    <w:link w:val="IntenseQuoteChar"/>
    <w:uiPriority w:val="30"/>
    <w:qFormat/>
    <w:rsid w:val="00056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8DE"/>
    <w:rPr>
      <w:i/>
      <w:iCs/>
      <w:color w:val="0F4761" w:themeColor="accent1" w:themeShade="BF"/>
    </w:rPr>
  </w:style>
  <w:style w:type="character" w:styleId="IntenseReference">
    <w:name w:val="Intense Reference"/>
    <w:basedOn w:val="DefaultParagraphFont"/>
    <w:uiPriority w:val="32"/>
    <w:qFormat/>
    <w:rsid w:val="000568DE"/>
    <w:rPr>
      <w:b/>
      <w:bCs/>
      <w:smallCaps/>
      <w:color w:val="0F4761" w:themeColor="accent1" w:themeShade="BF"/>
      <w:spacing w:val="5"/>
    </w:rPr>
  </w:style>
  <w:style w:type="character" w:styleId="Hyperlink">
    <w:name w:val="Hyperlink"/>
    <w:basedOn w:val="DefaultParagraphFont"/>
    <w:uiPriority w:val="99"/>
    <w:unhideWhenUsed/>
    <w:rsid w:val="00D575D7"/>
    <w:rPr>
      <w:color w:val="467886" w:themeColor="hyperlink"/>
      <w:u w:val="single"/>
    </w:rPr>
  </w:style>
  <w:style w:type="character" w:styleId="UnresolvedMention">
    <w:name w:val="Unresolved Mention"/>
    <w:basedOn w:val="DefaultParagraphFont"/>
    <w:uiPriority w:val="99"/>
    <w:semiHidden/>
    <w:unhideWhenUsed/>
    <w:rsid w:val="00D57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3595">
      <w:bodyDiv w:val="1"/>
      <w:marLeft w:val="0"/>
      <w:marRight w:val="0"/>
      <w:marTop w:val="0"/>
      <w:marBottom w:val="0"/>
      <w:divBdr>
        <w:top w:val="none" w:sz="0" w:space="0" w:color="auto"/>
        <w:left w:val="none" w:sz="0" w:space="0" w:color="auto"/>
        <w:bottom w:val="none" w:sz="0" w:space="0" w:color="auto"/>
        <w:right w:val="none" w:sz="0" w:space="0" w:color="auto"/>
      </w:divBdr>
      <w:divsChild>
        <w:div w:id="1965381151">
          <w:marLeft w:val="0"/>
          <w:marRight w:val="0"/>
          <w:marTop w:val="0"/>
          <w:marBottom w:val="0"/>
          <w:divBdr>
            <w:top w:val="none" w:sz="0" w:space="0" w:color="auto"/>
            <w:left w:val="none" w:sz="0" w:space="0" w:color="auto"/>
            <w:bottom w:val="none" w:sz="0" w:space="0" w:color="auto"/>
            <w:right w:val="none" w:sz="0" w:space="0" w:color="auto"/>
          </w:divBdr>
          <w:divsChild>
            <w:div w:id="1520586647">
              <w:marLeft w:val="0"/>
              <w:marRight w:val="0"/>
              <w:marTop w:val="0"/>
              <w:marBottom w:val="0"/>
              <w:divBdr>
                <w:top w:val="none" w:sz="0" w:space="0" w:color="auto"/>
                <w:left w:val="none" w:sz="0" w:space="0" w:color="auto"/>
                <w:bottom w:val="none" w:sz="0" w:space="0" w:color="auto"/>
                <w:right w:val="none" w:sz="0" w:space="0" w:color="auto"/>
              </w:divBdr>
            </w:div>
            <w:div w:id="2080326024">
              <w:marLeft w:val="0"/>
              <w:marRight w:val="0"/>
              <w:marTop w:val="0"/>
              <w:marBottom w:val="0"/>
              <w:divBdr>
                <w:top w:val="none" w:sz="0" w:space="0" w:color="auto"/>
                <w:left w:val="none" w:sz="0" w:space="0" w:color="auto"/>
                <w:bottom w:val="none" w:sz="0" w:space="0" w:color="auto"/>
                <w:right w:val="none" w:sz="0" w:space="0" w:color="auto"/>
              </w:divBdr>
            </w:div>
            <w:div w:id="353194457">
              <w:marLeft w:val="0"/>
              <w:marRight w:val="0"/>
              <w:marTop w:val="0"/>
              <w:marBottom w:val="0"/>
              <w:divBdr>
                <w:top w:val="none" w:sz="0" w:space="0" w:color="auto"/>
                <w:left w:val="none" w:sz="0" w:space="0" w:color="auto"/>
                <w:bottom w:val="none" w:sz="0" w:space="0" w:color="auto"/>
                <w:right w:val="none" w:sz="0" w:space="0" w:color="auto"/>
              </w:divBdr>
            </w:div>
            <w:div w:id="5105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718">
      <w:bodyDiv w:val="1"/>
      <w:marLeft w:val="0"/>
      <w:marRight w:val="0"/>
      <w:marTop w:val="0"/>
      <w:marBottom w:val="0"/>
      <w:divBdr>
        <w:top w:val="none" w:sz="0" w:space="0" w:color="auto"/>
        <w:left w:val="none" w:sz="0" w:space="0" w:color="auto"/>
        <w:bottom w:val="none" w:sz="0" w:space="0" w:color="auto"/>
        <w:right w:val="none" w:sz="0" w:space="0" w:color="auto"/>
      </w:divBdr>
      <w:divsChild>
        <w:div w:id="167327391">
          <w:marLeft w:val="0"/>
          <w:marRight w:val="0"/>
          <w:marTop w:val="0"/>
          <w:marBottom w:val="0"/>
          <w:divBdr>
            <w:top w:val="none" w:sz="0" w:space="0" w:color="auto"/>
            <w:left w:val="none" w:sz="0" w:space="0" w:color="auto"/>
            <w:bottom w:val="none" w:sz="0" w:space="0" w:color="auto"/>
            <w:right w:val="none" w:sz="0" w:space="0" w:color="auto"/>
          </w:divBdr>
          <w:divsChild>
            <w:div w:id="493494021">
              <w:marLeft w:val="0"/>
              <w:marRight w:val="0"/>
              <w:marTop w:val="0"/>
              <w:marBottom w:val="0"/>
              <w:divBdr>
                <w:top w:val="none" w:sz="0" w:space="0" w:color="auto"/>
                <w:left w:val="none" w:sz="0" w:space="0" w:color="auto"/>
                <w:bottom w:val="none" w:sz="0" w:space="0" w:color="auto"/>
                <w:right w:val="none" w:sz="0" w:space="0" w:color="auto"/>
              </w:divBdr>
            </w:div>
            <w:div w:id="360014738">
              <w:marLeft w:val="0"/>
              <w:marRight w:val="0"/>
              <w:marTop w:val="0"/>
              <w:marBottom w:val="0"/>
              <w:divBdr>
                <w:top w:val="none" w:sz="0" w:space="0" w:color="auto"/>
                <w:left w:val="none" w:sz="0" w:space="0" w:color="auto"/>
                <w:bottom w:val="none" w:sz="0" w:space="0" w:color="auto"/>
                <w:right w:val="none" w:sz="0" w:space="0" w:color="auto"/>
              </w:divBdr>
            </w:div>
            <w:div w:id="1873180958">
              <w:marLeft w:val="0"/>
              <w:marRight w:val="0"/>
              <w:marTop w:val="0"/>
              <w:marBottom w:val="0"/>
              <w:divBdr>
                <w:top w:val="none" w:sz="0" w:space="0" w:color="auto"/>
                <w:left w:val="none" w:sz="0" w:space="0" w:color="auto"/>
                <w:bottom w:val="none" w:sz="0" w:space="0" w:color="auto"/>
                <w:right w:val="none" w:sz="0" w:space="0" w:color="auto"/>
              </w:divBdr>
            </w:div>
            <w:div w:id="679309667">
              <w:marLeft w:val="0"/>
              <w:marRight w:val="0"/>
              <w:marTop w:val="0"/>
              <w:marBottom w:val="0"/>
              <w:divBdr>
                <w:top w:val="none" w:sz="0" w:space="0" w:color="auto"/>
                <w:left w:val="none" w:sz="0" w:space="0" w:color="auto"/>
                <w:bottom w:val="none" w:sz="0" w:space="0" w:color="auto"/>
                <w:right w:val="none" w:sz="0" w:space="0" w:color="auto"/>
              </w:divBdr>
            </w:div>
            <w:div w:id="981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471">
      <w:bodyDiv w:val="1"/>
      <w:marLeft w:val="0"/>
      <w:marRight w:val="0"/>
      <w:marTop w:val="0"/>
      <w:marBottom w:val="0"/>
      <w:divBdr>
        <w:top w:val="none" w:sz="0" w:space="0" w:color="auto"/>
        <w:left w:val="none" w:sz="0" w:space="0" w:color="auto"/>
        <w:bottom w:val="none" w:sz="0" w:space="0" w:color="auto"/>
        <w:right w:val="none" w:sz="0" w:space="0" w:color="auto"/>
      </w:divBdr>
    </w:div>
    <w:div w:id="1583562244">
      <w:bodyDiv w:val="1"/>
      <w:marLeft w:val="0"/>
      <w:marRight w:val="0"/>
      <w:marTop w:val="0"/>
      <w:marBottom w:val="0"/>
      <w:divBdr>
        <w:top w:val="none" w:sz="0" w:space="0" w:color="auto"/>
        <w:left w:val="none" w:sz="0" w:space="0" w:color="auto"/>
        <w:bottom w:val="none" w:sz="0" w:space="0" w:color="auto"/>
        <w:right w:val="none" w:sz="0" w:space="0" w:color="auto"/>
      </w:divBdr>
      <w:divsChild>
        <w:div w:id="1173372481">
          <w:marLeft w:val="0"/>
          <w:marRight w:val="0"/>
          <w:marTop w:val="0"/>
          <w:marBottom w:val="0"/>
          <w:divBdr>
            <w:top w:val="none" w:sz="0" w:space="0" w:color="auto"/>
            <w:left w:val="none" w:sz="0" w:space="0" w:color="auto"/>
            <w:bottom w:val="none" w:sz="0" w:space="0" w:color="auto"/>
            <w:right w:val="none" w:sz="0" w:space="0" w:color="auto"/>
          </w:divBdr>
          <w:divsChild>
            <w:div w:id="359010630">
              <w:marLeft w:val="0"/>
              <w:marRight w:val="0"/>
              <w:marTop w:val="0"/>
              <w:marBottom w:val="0"/>
              <w:divBdr>
                <w:top w:val="none" w:sz="0" w:space="0" w:color="auto"/>
                <w:left w:val="none" w:sz="0" w:space="0" w:color="auto"/>
                <w:bottom w:val="none" w:sz="0" w:space="0" w:color="auto"/>
                <w:right w:val="none" w:sz="0" w:space="0" w:color="auto"/>
              </w:divBdr>
            </w:div>
            <w:div w:id="648093107">
              <w:marLeft w:val="0"/>
              <w:marRight w:val="0"/>
              <w:marTop w:val="0"/>
              <w:marBottom w:val="0"/>
              <w:divBdr>
                <w:top w:val="none" w:sz="0" w:space="0" w:color="auto"/>
                <w:left w:val="none" w:sz="0" w:space="0" w:color="auto"/>
                <w:bottom w:val="none" w:sz="0" w:space="0" w:color="auto"/>
                <w:right w:val="none" w:sz="0" w:space="0" w:color="auto"/>
              </w:divBdr>
            </w:div>
            <w:div w:id="1509901757">
              <w:marLeft w:val="0"/>
              <w:marRight w:val="0"/>
              <w:marTop w:val="0"/>
              <w:marBottom w:val="0"/>
              <w:divBdr>
                <w:top w:val="none" w:sz="0" w:space="0" w:color="auto"/>
                <w:left w:val="none" w:sz="0" w:space="0" w:color="auto"/>
                <w:bottom w:val="none" w:sz="0" w:space="0" w:color="auto"/>
                <w:right w:val="none" w:sz="0" w:space="0" w:color="auto"/>
              </w:divBdr>
            </w:div>
            <w:div w:id="18851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2576">
      <w:bodyDiv w:val="1"/>
      <w:marLeft w:val="0"/>
      <w:marRight w:val="0"/>
      <w:marTop w:val="0"/>
      <w:marBottom w:val="0"/>
      <w:divBdr>
        <w:top w:val="none" w:sz="0" w:space="0" w:color="auto"/>
        <w:left w:val="none" w:sz="0" w:space="0" w:color="auto"/>
        <w:bottom w:val="none" w:sz="0" w:space="0" w:color="auto"/>
        <w:right w:val="none" w:sz="0" w:space="0" w:color="auto"/>
      </w:divBdr>
      <w:divsChild>
        <w:div w:id="344021405">
          <w:marLeft w:val="0"/>
          <w:marRight w:val="0"/>
          <w:marTop w:val="0"/>
          <w:marBottom w:val="0"/>
          <w:divBdr>
            <w:top w:val="none" w:sz="0" w:space="0" w:color="auto"/>
            <w:left w:val="none" w:sz="0" w:space="0" w:color="auto"/>
            <w:bottom w:val="none" w:sz="0" w:space="0" w:color="auto"/>
            <w:right w:val="none" w:sz="0" w:space="0" w:color="auto"/>
          </w:divBdr>
          <w:divsChild>
            <w:div w:id="438574809">
              <w:marLeft w:val="0"/>
              <w:marRight w:val="0"/>
              <w:marTop w:val="0"/>
              <w:marBottom w:val="0"/>
              <w:divBdr>
                <w:top w:val="none" w:sz="0" w:space="0" w:color="auto"/>
                <w:left w:val="none" w:sz="0" w:space="0" w:color="auto"/>
                <w:bottom w:val="none" w:sz="0" w:space="0" w:color="auto"/>
                <w:right w:val="none" w:sz="0" w:space="0" w:color="auto"/>
              </w:divBdr>
            </w:div>
            <w:div w:id="183056553">
              <w:marLeft w:val="0"/>
              <w:marRight w:val="0"/>
              <w:marTop w:val="0"/>
              <w:marBottom w:val="0"/>
              <w:divBdr>
                <w:top w:val="none" w:sz="0" w:space="0" w:color="auto"/>
                <w:left w:val="none" w:sz="0" w:space="0" w:color="auto"/>
                <w:bottom w:val="none" w:sz="0" w:space="0" w:color="auto"/>
                <w:right w:val="none" w:sz="0" w:space="0" w:color="auto"/>
              </w:divBdr>
            </w:div>
            <w:div w:id="1419057341">
              <w:marLeft w:val="0"/>
              <w:marRight w:val="0"/>
              <w:marTop w:val="0"/>
              <w:marBottom w:val="0"/>
              <w:divBdr>
                <w:top w:val="none" w:sz="0" w:space="0" w:color="auto"/>
                <w:left w:val="none" w:sz="0" w:space="0" w:color="auto"/>
                <w:bottom w:val="none" w:sz="0" w:space="0" w:color="auto"/>
                <w:right w:val="none" w:sz="0" w:space="0" w:color="auto"/>
              </w:divBdr>
            </w:div>
            <w:div w:id="7427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6157">
      <w:bodyDiv w:val="1"/>
      <w:marLeft w:val="0"/>
      <w:marRight w:val="0"/>
      <w:marTop w:val="0"/>
      <w:marBottom w:val="0"/>
      <w:divBdr>
        <w:top w:val="none" w:sz="0" w:space="0" w:color="auto"/>
        <w:left w:val="none" w:sz="0" w:space="0" w:color="auto"/>
        <w:bottom w:val="none" w:sz="0" w:space="0" w:color="auto"/>
        <w:right w:val="none" w:sz="0" w:space="0" w:color="auto"/>
      </w:divBdr>
    </w:div>
    <w:div w:id="2087722355">
      <w:bodyDiv w:val="1"/>
      <w:marLeft w:val="0"/>
      <w:marRight w:val="0"/>
      <w:marTop w:val="0"/>
      <w:marBottom w:val="0"/>
      <w:divBdr>
        <w:top w:val="none" w:sz="0" w:space="0" w:color="auto"/>
        <w:left w:val="none" w:sz="0" w:space="0" w:color="auto"/>
        <w:bottom w:val="none" w:sz="0" w:space="0" w:color="auto"/>
        <w:right w:val="none" w:sz="0" w:space="0" w:color="auto"/>
      </w:divBdr>
      <w:divsChild>
        <w:div w:id="168451485">
          <w:marLeft w:val="0"/>
          <w:marRight w:val="0"/>
          <w:marTop w:val="0"/>
          <w:marBottom w:val="0"/>
          <w:divBdr>
            <w:top w:val="none" w:sz="0" w:space="0" w:color="auto"/>
            <w:left w:val="none" w:sz="0" w:space="0" w:color="auto"/>
            <w:bottom w:val="none" w:sz="0" w:space="0" w:color="auto"/>
            <w:right w:val="none" w:sz="0" w:space="0" w:color="auto"/>
          </w:divBdr>
          <w:divsChild>
            <w:div w:id="1696733516">
              <w:marLeft w:val="0"/>
              <w:marRight w:val="0"/>
              <w:marTop w:val="0"/>
              <w:marBottom w:val="0"/>
              <w:divBdr>
                <w:top w:val="none" w:sz="0" w:space="0" w:color="auto"/>
                <w:left w:val="none" w:sz="0" w:space="0" w:color="auto"/>
                <w:bottom w:val="none" w:sz="0" w:space="0" w:color="auto"/>
                <w:right w:val="none" w:sz="0" w:space="0" w:color="auto"/>
              </w:divBdr>
            </w:div>
            <w:div w:id="2001077715">
              <w:marLeft w:val="0"/>
              <w:marRight w:val="0"/>
              <w:marTop w:val="0"/>
              <w:marBottom w:val="0"/>
              <w:divBdr>
                <w:top w:val="none" w:sz="0" w:space="0" w:color="auto"/>
                <w:left w:val="none" w:sz="0" w:space="0" w:color="auto"/>
                <w:bottom w:val="none" w:sz="0" w:space="0" w:color="auto"/>
                <w:right w:val="none" w:sz="0" w:space="0" w:color="auto"/>
              </w:divBdr>
            </w:div>
            <w:div w:id="1944612523">
              <w:marLeft w:val="0"/>
              <w:marRight w:val="0"/>
              <w:marTop w:val="0"/>
              <w:marBottom w:val="0"/>
              <w:divBdr>
                <w:top w:val="none" w:sz="0" w:space="0" w:color="auto"/>
                <w:left w:val="none" w:sz="0" w:space="0" w:color="auto"/>
                <w:bottom w:val="none" w:sz="0" w:space="0" w:color="auto"/>
                <w:right w:val="none" w:sz="0" w:space="0" w:color="auto"/>
              </w:divBdr>
            </w:div>
            <w:div w:id="996805404">
              <w:marLeft w:val="0"/>
              <w:marRight w:val="0"/>
              <w:marTop w:val="0"/>
              <w:marBottom w:val="0"/>
              <w:divBdr>
                <w:top w:val="none" w:sz="0" w:space="0" w:color="auto"/>
                <w:left w:val="none" w:sz="0" w:space="0" w:color="auto"/>
                <w:bottom w:val="none" w:sz="0" w:space="0" w:color="auto"/>
                <w:right w:val="none" w:sz="0" w:space="0" w:color="auto"/>
              </w:divBdr>
            </w:div>
            <w:div w:id="7503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3023">
      <w:bodyDiv w:val="1"/>
      <w:marLeft w:val="0"/>
      <w:marRight w:val="0"/>
      <w:marTop w:val="0"/>
      <w:marBottom w:val="0"/>
      <w:divBdr>
        <w:top w:val="none" w:sz="0" w:space="0" w:color="auto"/>
        <w:left w:val="none" w:sz="0" w:space="0" w:color="auto"/>
        <w:bottom w:val="none" w:sz="0" w:space="0" w:color="auto"/>
        <w:right w:val="none" w:sz="0" w:space="0" w:color="auto"/>
      </w:divBdr>
      <w:divsChild>
        <w:div w:id="1906917751">
          <w:marLeft w:val="0"/>
          <w:marRight w:val="0"/>
          <w:marTop w:val="0"/>
          <w:marBottom w:val="0"/>
          <w:divBdr>
            <w:top w:val="none" w:sz="0" w:space="0" w:color="auto"/>
            <w:left w:val="none" w:sz="0" w:space="0" w:color="auto"/>
            <w:bottom w:val="none" w:sz="0" w:space="0" w:color="auto"/>
            <w:right w:val="none" w:sz="0" w:space="0" w:color="auto"/>
          </w:divBdr>
          <w:divsChild>
            <w:div w:id="270362156">
              <w:marLeft w:val="0"/>
              <w:marRight w:val="0"/>
              <w:marTop w:val="0"/>
              <w:marBottom w:val="0"/>
              <w:divBdr>
                <w:top w:val="none" w:sz="0" w:space="0" w:color="auto"/>
                <w:left w:val="none" w:sz="0" w:space="0" w:color="auto"/>
                <w:bottom w:val="none" w:sz="0" w:space="0" w:color="auto"/>
                <w:right w:val="none" w:sz="0" w:space="0" w:color="auto"/>
              </w:divBdr>
            </w:div>
            <w:div w:id="1274173651">
              <w:marLeft w:val="0"/>
              <w:marRight w:val="0"/>
              <w:marTop w:val="0"/>
              <w:marBottom w:val="0"/>
              <w:divBdr>
                <w:top w:val="none" w:sz="0" w:space="0" w:color="auto"/>
                <w:left w:val="none" w:sz="0" w:space="0" w:color="auto"/>
                <w:bottom w:val="none" w:sz="0" w:space="0" w:color="auto"/>
                <w:right w:val="none" w:sz="0" w:space="0" w:color="auto"/>
              </w:divBdr>
            </w:div>
            <w:div w:id="679313218">
              <w:marLeft w:val="0"/>
              <w:marRight w:val="0"/>
              <w:marTop w:val="0"/>
              <w:marBottom w:val="0"/>
              <w:divBdr>
                <w:top w:val="none" w:sz="0" w:space="0" w:color="auto"/>
                <w:left w:val="none" w:sz="0" w:space="0" w:color="auto"/>
                <w:bottom w:val="none" w:sz="0" w:space="0" w:color="auto"/>
                <w:right w:val="none" w:sz="0" w:space="0" w:color="auto"/>
              </w:divBdr>
            </w:div>
            <w:div w:id="5774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P@0.5" TargetMode="External"/><Relationship Id="rId5" Type="http://schemas.openxmlformats.org/officeDocument/2006/relationships/hyperlink" Target="mailto:AP@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276</Words>
  <Characters>1424</Characters>
  <Application>Microsoft Office Word</Application>
  <DocSecurity>0</DocSecurity>
  <Lines>118</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Peter Sepich</dc:creator>
  <cp:keywords/>
  <dc:description/>
  <cp:lastModifiedBy>Joseph Peter Sepich</cp:lastModifiedBy>
  <cp:revision>4</cp:revision>
  <dcterms:created xsi:type="dcterms:W3CDTF">2025-05-01T23:36:00Z</dcterms:created>
  <dcterms:modified xsi:type="dcterms:W3CDTF">2025-05-01T23:56:00Z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c228a7ba-c911-4cb0-91eb-e37b8d29b44f</vt:lpwstr>
  </property>
</Properties>
</file>