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@table-park-types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rk-type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49"/>
              <w:gridCol w:w="5126"/>
              <w:gridCol w:w="511"/>
              <w:gridCol w:w="1013"/>
              <w:gridCol w:w="1061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Typical amenities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Size (ha)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Service area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radius (km)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Pocket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Playground; small open area;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&lt;0.8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Linear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Linear open space; walking/biking path;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Various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Neighborhood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Open space; playground; sports fields;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0.8-11.9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Community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Amenities found in neighborhood parks, plus: swimming pool; recreational center; dog park; skate plaza; pond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12-20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Regional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Amenities found in community parks, plus: community/senior center; sports complex and concessions; skate park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Typical amenities, sizes, and service area radii of Phoenix public park types</w:t>
            </w:r>
          </w:p>
          <w:bookmarkEnd w:id="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park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076"/>
              <w:gridCol w:w="1080"/>
              <w:gridCol w:w="1080"/>
              <w:gridCol w:w="1132"/>
              <w:gridCol w:w="1080"/>
              <w:gridCol w:w="1084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area (ha)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8.30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12.51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115.25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tree canopy cover (%)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15.57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48.99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177 parks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Total park area and park tree canopy cover area in Phoenix public parks</w:t>
            </w:r>
          </w:p>
          <w:bookmarkEnd w:id="1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ttcc-rtcc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12"/>
              <w:gridCol w:w="1080"/>
              <w:gridCol w:w="1080"/>
              <w:gridCol w:w="1132"/>
              <w:gridCol w:w="1080"/>
              <w:gridCol w:w="1080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tree canopy cover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11.47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26.28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Residential tree canopy cover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27.50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TTCC - RTCC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-2.59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TTCC: Total tree canopy cover; RTCC: Residential tree canopy cover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176 block groups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Total tree canopy cover (TTCC) and residential tree canopy cover (RTCC) in block groups that contain parks</w:t>
            </w:r>
          </w:p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-stat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68"/>
              <w:gridCol w:w="817"/>
              <w:gridCol w:w="695"/>
              <w:gridCol w:w="988"/>
              <w:gridCol w:w="634"/>
              <w:gridCol w:w="817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single" w:sz="8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Block group characteristics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population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1597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59.1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single" w:sz="8" w:space="0" w:color="666666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Outcome variables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Residential tree canopy cover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tree access score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58.5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97.3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568.0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988 block groups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Descriptive statistics of the dataset</w:t>
            </w:r>
          </w:p>
          <w:bookmarkEnd w:id="1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regres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90"/>
              <w:gridCol w:w="1196"/>
              <w:gridCol w:w="1465"/>
              <w:gridCol w:w="1074"/>
              <w:gridCol w:w="1526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gridSpan w:val="2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RTCC models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gridSpan w:val="2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√PTAS models</w:t>
                  </w:r>
                </w:p>
              </w:tc>
            </w:tr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OLS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Spatial error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OLS 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Spatial error 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17.262***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17.199***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8.402***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8.541***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-0.035***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-0.040***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-0.073***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-0.069***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0.019*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-0.085***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-0.080***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0.030***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0.027***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lambda</w:t>
                  </w:r>
                </w:p>
              </w:tc>
              <w:tc>
                <w:tcPr>
                  <w:tcBorders>
                    <w:bottom w:val="single" w:sz="6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0.462***</w:t>
                  </w:r>
                </w:p>
              </w:tc>
              <w:tc>
                <w:tcPr>
                  <w:tcBorders>
                    <w:bottom w:val="single" w:sz="6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0.731***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5251.8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5163.7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4692.0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4291.1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R²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 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Pseudo-R²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RTCC: Residential tree canopy cover; √PTAS: Park tree access score (square-root transformed)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AIC: Akaike information criterion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 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R² is reported for OLS models; Nagelkerke pseudo-R² is reported for spatial error models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0.05, 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0.01, ***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0.001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988 block groups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Results of OLS and spatial error regression models for RTCC and PTAS</w:t>
            </w:r>
          </w:p>
          <w:bookmarkEnd w:id="1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canopy-acces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40"/>
              <w:gridCol w:w="2880"/>
              <w:gridCol w:w="3600"/>
              <w:gridCol w:w="1440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Category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Description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Block groups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HH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 RTCC + High PTAS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Abundant residential tree canopy and park tree access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89 (9.0)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 RTCC + Low PTAS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Abundant residential tree canopy, but low park tree access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 (12.3)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LH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 RTCC + High PTAS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 residential tree canopy, but parks provide tree canopy refuge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404 (40.9)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 RTCC + Low PTAS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Residential and park tree canopy desert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373 (37.8)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988 block groups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Tree canopy access categories</w:t>
            </w:r>
          </w:p>
          <w:bookmarkEnd w:id="1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multinom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90"/>
              <w:gridCol w:w="695"/>
              <w:gridCol w:w="1245"/>
              <w:gridCol w:w="952"/>
              <w:gridCol w:w="1245"/>
              <w:gridCol w:w="952"/>
              <w:gridCol w:w="1245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gridSpan w:val="2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HL</w:t>
                  </w:r>
                </w:p>
              </w:tc>
              <w:tc>
                <w:tcPr>
                  <w:gridSpan w:val="2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LH</w:t>
                  </w:r>
                </w:p>
              </w:tc>
              <w:tc>
                <w:tcPr>
                  <w:gridSpan w:val="2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LL</w:t>
                  </w:r>
                </w:p>
              </w:tc>
            </w:tr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Predictor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0.98, 1.02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1.00, 1.03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1.00, 1.03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0.94, 1.05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1.01, 1.10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1.04†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1.00, 1.08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0.96, 1.01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1.08***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1.05, 1.10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1.06***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1.03, 1.08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OR: Odds ratio; CI: Confidence interval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Reference category: HH (High RTCC/High PTAS)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†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0.1, 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0.05, 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0.01, ***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0.001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988: HH = 89, HL = 122, LH = 404, LL = 373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Multinomial logistic regression odds ratios for canopy access categories HL (High RTCC/Low PTAS), LH (Low RTCC/High PTAS), and LL (Low RTCC/Low PTAS) compared to HH (High RTCC/High PTAS)</w:t>
            </w:r>
          </w:p>
          <w:bookmarkEnd w:id="1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bin-regress"/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734"/>
              <w:gridCol w:w="1650"/>
              <w:gridCol w:w="1405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β (unfiltered)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β (filtered)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gridSpan w:val="3"/>
                  <w:tcBorders>
                    <w:bottom w:val="single" w:sz="8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HH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-0.303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-0.778**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-0.013†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-0.018*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-0.035†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-0.041*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-0.044***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-0.039***</w:t>
                  </w:r>
                </w:p>
              </w:tc>
            </w:tr>
            <w:tr>
              <w:trPr>
                <w:trHeight w:val="628" w:hRule="auto"/>
              </w:trPr>
              <w:tc>
                <w:tcPr>
                  <w:gridSpan w:val="3"/>
                  <w:tcBorders>
                    <w:bottom w:val="single" w:sz="8" w:space="0" w:color="666666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HL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0.577**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0.628*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-0.021**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-0.043*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-0.066**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-0.065***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-0.068***</w:t>
                  </w:r>
                </w:p>
              </w:tc>
            </w:tr>
            <w:tr>
              <w:trPr>
                <w:trHeight w:val="628" w:hRule="auto"/>
              </w:trPr>
              <w:tc>
                <w:tcPr>
                  <w:gridSpan w:val="3"/>
                  <w:tcBorders>
                    <w:bottom w:val="single" w:sz="8" w:space="0" w:color="666666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LH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-2.13***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-2.533***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0.007*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0.019**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0.025**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0.032***</w:t>
                  </w:r>
                </w:p>
              </w:tc>
              <w:tc>
                <w:tcPr>
                  <w:tcBorders>
                    <w:bottom w:val="single" w:sz="8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0.038***</w:t>
                  </w:r>
                </w:p>
              </w:tc>
            </w:tr>
            <w:tr>
              <w:trPr>
                <w:trHeight w:val="628" w:hRule="auto"/>
              </w:trPr>
              <w:tc>
                <w:tcPr>
                  <w:gridSpan w:val="3"/>
                  <w:tcBorders>
                    <w:bottom w:val="single" w:sz="8" w:space="0" w:color="666666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LL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-0.76***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-1.151***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Hispanic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Black population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ADI rank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†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0.1, 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0.05, 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0.01, ***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&lt; 0.001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988 block groups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Binary logistic regression results for canopy access categories before and after spatial filtering</w:t>
            </w:r>
          </w:p>
          <w:bookmarkEnd w:id="16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2026-09-13T23:07:46Z</dcterms:created>
  <dcterms:modified xsi:type="dcterms:W3CDTF">2026-09-13T23:07:46Z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bl-cap-location">
    <vt:lpwstr>bottom</vt:lpwstr>
  </property>
  <property fmtid="{D5CDD505-2E9C-101B-9397-08002B2CF9AE}" pid="10" name="toc-title">
    <vt:lpwstr>Table of contents</vt:lpwstr>
  </property>
</Properties>
</file>