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table_test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@table-park-types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rk-types"/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649"/>
              <w:gridCol w:w="5126"/>
              <w:gridCol w:w="511"/>
              <w:gridCol w:w="1013"/>
              <w:gridCol w:w="1061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Park type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Typical amenities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Size (ha)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Service area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radius (km)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Pocket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Playground; small open area; picnic areas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&lt;0.8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Linear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Linear open space; walking/biking path; fitness equipment; picnic areas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Various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Neighborhood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Open space; playground; sports fields; fitness equipment; picnic areas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0.8-11.9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Community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Amenities found in neighborhood parks, plus: swimming pool; recreational center; dog park; skate plaza; pond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12-20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Regional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Amenities found in community parks, plus: community/senior center; sports complex and concessions; skate park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&gt;20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8.0</w:t>
                  </w:r>
                </w:p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Typical amenities, sizes, and service area radii of Phoenix public park types</w:t>
            </w:r>
          </w:p>
          <w:bookmarkEnd w:id="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parks"/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076"/>
              <w:gridCol w:w="1080"/>
              <w:gridCol w:w="1080"/>
              <w:gridCol w:w="1132"/>
              <w:gridCol w:w="1080"/>
              <w:gridCol w:w="1084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Max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Park area (ha)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8.30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12.51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115.25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Park tree canopy cover (%)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15.57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8.24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14.40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48.99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6"/>
                  <w:tcBorders>
                    <w:bottom w:val="none" w:sz="0" w:space="0" w:color="FFFFFF"/>
                    <w:top w:val="single" w:sz="12" w:space="0" w:color="666666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= 177 parks</w:t>
                  </w:r>
                </w:p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Total park area and park tree canopy cover area in Phoenix public parks</w:t>
            </w:r>
          </w:p>
          <w:bookmarkEnd w:id="1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ttcc-rtcc"/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712"/>
              <w:gridCol w:w="1080"/>
              <w:gridCol w:w="1080"/>
              <w:gridCol w:w="1132"/>
              <w:gridCol w:w="1080"/>
              <w:gridCol w:w="1080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Max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 tree canopy cover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11.47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10.95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3.65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26.28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Residential tree canopy cover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27.50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TTCC - RTCC (%)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-2.59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3.94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6"/>
                  <w:tcBorders>
                    <w:bottom w:val="none" w:sz="0" w:space="0" w:color="FFFFFF"/>
                    <w:top w:val="single" w:sz="12" w:space="0" w:color="666666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TTCC: Total tree canopy cover; RTCC: Residential tree canopy cover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6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tru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= 176 block groups</w:t>
                  </w:r>
                </w:p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Total tree canopy cover (TTCC) and residential tree canopy cover (RTCC) in block groups that contain parks</w:t>
            </w:r>
          </w:p>
          <w:bookmarkEnd w:id="1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desc-stats"/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Mean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SD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Median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Min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Max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25" w:type="dxa"/>
                  </w:tcMar>
                  <w:gridSpan w:val="6"/>
                </w:tcPr>
                <w:p>
                  <w:pPr>
                    <w:spacing w:before="0" w:after="60"/>
                    <w:keepNext/>
                  </w:pPr>
                  <w:r>
                    <w:rPr>
                      <w:i/>
                      <w:rFonts w:ascii="Calibri" w:hAnsi="Calibri"/>
                      <w:sz w:val="20"/>
                    </w:rPr>
                    <w:t xml:space="preserve">Block group characteristics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 population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1,597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1,499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6,221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Hispanic population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39.7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33.9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99.3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Black population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6.8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59.1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ADI rank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25" w:type="dxa"/>
                  </w:tcMar>
                  <w:gridSpan w:val="6"/>
                </w:tcPr>
                <w:p>
                  <w:pPr>
                    <w:spacing w:before="0" w:after="60"/>
                    <w:keepNext/>
                  </w:pPr>
                  <w:r>
                    <w:rPr>
                      <w:i/>
                      <w:rFonts w:ascii="Calibri" w:hAnsi="Calibri"/>
                      <w:sz w:val="20"/>
                    </w:rPr>
                    <w:t xml:space="preserve">Outcome variables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Residential tree canopy cover (%)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25" w:type="dxa"/>
                  </w:tcMar>
                  <w:gridSpan w:val="6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Park tree access 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105.7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58.5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97.3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568.0</w:t>
                  </w:r>
                </w:p>
              </w:tc>
            </w:tr>
            <w:tr>
              <w:trPr>
                <w:cantSplit/>
              </w:trPr>
              <w:tc>
                <w:tcPr>
                  <w:gridSpan w:val="6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i/>
                      <w:rFonts w:ascii="Calibri" w:hAnsi="Calibri"/>
                      <w:sz w:val="20"/>
                    </w:rPr>
                    <w:t xml:space="preserve">N</w:t>
                  </w:r>
                  <w:r>
                    <w:rPr>
                      <w:rFonts w:ascii="Calibri" w:hAnsi="Calibri"/>
                      <w:sz w:val="20"/>
                    </w:rPr>
                    <w:t xml:space="preserve"> = 988 block groups</w:t>
                  </w:r>
                </w:p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Descriptive statistics of the dataset</w:t>
            </w:r>
          </w:p>
          <w:bookmarkEnd w:id="12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8"/>
        <w:gridCol w:w="817"/>
        <w:gridCol w:w="695"/>
        <w:gridCol w:w="988"/>
        <w:gridCol w:w="634"/>
        <w:gridCol w:w="817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 group characteristics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 population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population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ADI rank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variables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Residential tree canopy cover (%)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 tree access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568.0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988 block groups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table_test</dc:title>
  <dc:creator/>
  <cp:keywords/>
  <dcterms:created xsi:type="dcterms:W3CDTF">2026-09-13T18:40:31Z</dcterms:created>
  <dcterms:modified xsi:type="dcterms:W3CDTF">2026-09-13T18:40:31Z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bl-cap-location">
    <vt:lpwstr>bottom</vt:lpwstr>
  </property>
  <property fmtid="{D5CDD505-2E9C-101B-9397-08002B2CF9AE}" pid="10" name="toc-title">
    <vt:lpwstr>Table of contents</vt:lpwstr>
  </property>
</Properties>
</file>