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72A6" w14:textId="77777777" w:rsidR="00AE3C4C" w:rsidRPr="00487669" w:rsidRDefault="00AE3C4C" w:rsidP="00AE3C4C">
      <w:pPr>
        <w:jc w:val="center"/>
        <w:rPr>
          <w:rFonts w:ascii="CG Times" w:hAnsi="CG Times"/>
          <w:color w:val="000000"/>
          <w:sz w:val="22"/>
          <w:szCs w:val="22"/>
        </w:rPr>
      </w:pPr>
      <w:r w:rsidRPr="00487669">
        <w:rPr>
          <w:rFonts w:ascii="Arial" w:hAnsi="Arial" w:cs="Arial"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E9A66A" wp14:editId="33A1FA50">
                <wp:simplePos x="0" y="0"/>
                <wp:positionH relativeFrom="margin">
                  <wp:posOffset>4993005</wp:posOffset>
                </wp:positionH>
                <wp:positionV relativeFrom="paragraph">
                  <wp:posOffset>-279400</wp:posOffset>
                </wp:positionV>
                <wp:extent cx="933450" cy="252095"/>
                <wp:effectExtent l="1905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141FA" w14:textId="77777777" w:rsidR="00AE3C4C" w:rsidRPr="00FF0DF6" w:rsidRDefault="00AE3C4C" w:rsidP="00AE3C4C">
                            <w:pPr>
                              <w:rPr>
                                <w:rFonts w:ascii="Arial" w:hAnsi="Arial" w:cs="Arial"/>
                                <w:sz w:val="22"/>
                                <w:u w:val="single"/>
                              </w:rPr>
                            </w:pPr>
                            <w:r w:rsidRPr="00FF0DF6">
                              <w:rPr>
                                <w:rFonts w:ascii="Arial" w:hAnsi="Arial" w:cs="Arial"/>
                                <w:sz w:val="22"/>
                                <w:u w:val="single"/>
                              </w:rPr>
                              <w:t xml:space="preserve">Appendix </w:t>
                            </w:r>
                            <w:r w:rsidR="00BC773C">
                              <w:rPr>
                                <w:rFonts w:ascii="Arial" w:hAnsi="Arial" w:cs="Arial"/>
                                <w:sz w:val="22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E9A6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3.15pt;margin-top:-22pt;width:73.5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" stroked="f">
                <v:textbox style="mso-fit-shape-to-text:t">
                  <w:txbxContent>
                    <w:p w14:paraId="4B2141FA" w14:textId="77777777" w:rsidR="00AE3C4C" w:rsidRPr="00FF0DF6" w:rsidRDefault="00AE3C4C" w:rsidP="00AE3C4C">
                      <w:pPr>
                        <w:rPr>
                          <w:rFonts w:ascii="Arial" w:hAnsi="Arial" w:cs="Arial"/>
                          <w:sz w:val="22"/>
                          <w:u w:val="single"/>
                        </w:rPr>
                      </w:pPr>
                      <w:r w:rsidRPr="00FF0DF6">
                        <w:rPr>
                          <w:rFonts w:ascii="Arial" w:hAnsi="Arial" w:cs="Arial"/>
                          <w:sz w:val="22"/>
                          <w:u w:val="single"/>
                        </w:rPr>
                        <w:t xml:space="preserve">Appendix </w:t>
                      </w:r>
                      <w:r w:rsidR="00BC773C">
                        <w:rPr>
                          <w:rFonts w:ascii="Arial" w:hAnsi="Arial" w:cs="Arial"/>
                          <w:sz w:val="22"/>
                          <w:u w:val="single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87669">
        <w:rPr>
          <w:noProof/>
          <w:color w:val="000000"/>
          <w:sz w:val="22"/>
          <w:szCs w:val="22"/>
          <w:lang w:eastAsia="zh-TW"/>
        </w:rPr>
        <w:drawing>
          <wp:inline distT="0" distB="0" distL="0" distR="0" wp14:anchorId="680CA5AD" wp14:editId="483CDD27">
            <wp:extent cx="914400" cy="619125"/>
            <wp:effectExtent l="0" t="0" r="0" b="9525"/>
            <wp:docPr id="28" name="Picture 1" descr="C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17C7" w14:textId="77777777" w:rsidR="00AE3C4C" w:rsidRPr="00487669" w:rsidRDefault="00AE3C4C" w:rsidP="00AE3C4C">
      <w:pPr>
        <w:tabs>
          <w:tab w:val="left" w:pos="450"/>
        </w:tabs>
        <w:jc w:val="center"/>
        <w:rPr>
          <w:rFonts w:ascii="Arial" w:hAnsi="Arial" w:cs="Arial"/>
          <w:b/>
          <w:sz w:val="22"/>
          <w:szCs w:val="22"/>
        </w:rPr>
      </w:pPr>
      <w:r w:rsidRPr="00487669">
        <w:rPr>
          <w:rFonts w:ascii="Arial" w:hAnsi="Arial" w:cs="Arial"/>
          <w:b/>
          <w:color w:val="000000"/>
          <w:lang w:val="en-GB" w:eastAsia="en-US"/>
        </w:rPr>
        <w:t>The Chinese University of Hong Kong</w:t>
      </w:r>
    </w:p>
    <w:p w14:paraId="793C2673" w14:textId="77777777" w:rsidR="00AE3C4C" w:rsidRPr="00487669" w:rsidRDefault="00AE3C4C" w:rsidP="00AE3C4C">
      <w:pPr>
        <w:tabs>
          <w:tab w:val="left" w:pos="450"/>
        </w:tabs>
        <w:jc w:val="center"/>
        <w:rPr>
          <w:rFonts w:ascii="Arial" w:hAnsi="Arial" w:cs="Arial"/>
          <w:b/>
          <w:sz w:val="22"/>
          <w:szCs w:val="22"/>
        </w:rPr>
      </w:pPr>
    </w:p>
    <w:p w14:paraId="139BFF0B" w14:textId="77777777" w:rsidR="00AE3C4C" w:rsidRPr="00487669" w:rsidRDefault="00AE3C4C" w:rsidP="00AE3C4C">
      <w:pPr>
        <w:tabs>
          <w:tab w:val="left" w:pos="180"/>
        </w:tabs>
        <w:jc w:val="center"/>
        <w:rPr>
          <w:rFonts w:ascii="Arial" w:hAnsi="Arial" w:cs="Arial"/>
          <w:b/>
          <w:sz w:val="22"/>
          <w:szCs w:val="22"/>
        </w:rPr>
      </w:pPr>
      <w:r w:rsidRPr="00487669">
        <w:rPr>
          <w:rFonts w:ascii="Arial" w:hAnsi="Arial" w:cs="Arial"/>
          <w:b/>
          <w:sz w:val="22"/>
          <w:szCs w:val="22"/>
        </w:rPr>
        <w:t>Summer Undergraduate Research Programme</w:t>
      </w:r>
    </w:p>
    <w:p w14:paraId="629406CF" w14:textId="77777777" w:rsidR="00AE3C4C" w:rsidRPr="00487669" w:rsidRDefault="00AE3C4C" w:rsidP="00AE3C4C">
      <w:pPr>
        <w:jc w:val="center"/>
        <w:rPr>
          <w:rFonts w:ascii="Arial" w:hAnsi="Arial" w:cs="Arial"/>
          <w:b/>
          <w:sz w:val="22"/>
          <w:szCs w:val="22"/>
        </w:rPr>
      </w:pPr>
      <w:r w:rsidRPr="00487669">
        <w:rPr>
          <w:rFonts w:ascii="Arial" w:eastAsia="PMingLiU" w:hAnsi="Arial" w:cs="Arial"/>
          <w:b/>
          <w:sz w:val="22"/>
          <w:szCs w:val="22"/>
          <w:lang w:eastAsia="zh-TW"/>
        </w:rPr>
        <w:t>IASP</w:t>
      </w:r>
      <w:r w:rsidRPr="00487669">
        <w:rPr>
          <w:rFonts w:ascii="Arial" w:eastAsia="PMingLiU" w:hAnsi="Arial" w:cs="Arial" w:hint="eastAsia"/>
          <w:b/>
          <w:sz w:val="22"/>
          <w:szCs w:val="22"/>
          <w:lang w:eastAsia="zh-TW"/>
        </w:rPr>
        <w:t xml:space="preserve"> 409</w:t>
      </w:r>
      <w:r w:rsidR="00F96186" w:rsidRPr="00487669">
        <w:rPr>
          <w:rFonts w:ascii="Arial" w:eastAsia="PMingLiU" w:hAnsi="Arial" w:cs="Arial"/>
          <w:b/>
          <w:sz w:val="22"/>
          <w:szCs w:val="22"/>
          <w:lang w:eastAsia="zh-TW"/>
        </w:rPr>
        <w:t>0</w:t>
      </w:r>
      <w:r w:rsidRPr="00487669">
        <w:rPr>
          <w:rFonts w:ascii="Arial" w:eastAsia="PMingLiU" w:hAnsi="Arial" w:cs="Arial" w:hint="eastAsia"/>
          <w:b/>
          <w:sz w:val="22"/>
          <w:szCs w:val="22"/>
          <w:lang w:eastAsia="zh-TW"/>
        </w:rPr>
        <w:t xml:space="preserve"> </w:t>
      </w:r>
      <w:r w:rsidRPr="00487669">
        <w:rPr>
          <w:rFonts w:ascii="Arial" w:hAnsi="Arial" w:cs="Arial"/>
          <w:b/>
          <w:sz w:val="22"/>
          <w:szCs w:val="22"/>
        </w:rPr>
        <w:t>Independent Resea</w:t>
      </w:r>
      <w:r w:rsidR="00F96186" w:rsidRPr="00487669">
        <w:rPr>
          <w:rFonts w:ascii="Arial" w:hAnsi="Arial" w:cs="Arial"/>
          <w:b/>
          <w:sz w:val="22"/>
          <w:szCs w:val="22"/>
        </w:rPr>
        <w:t xml:space="preserve">rch on International Studies </w:t>
      </w:r>
      <w:r w:rsidRPr="00487669">
        <w:rPr>
          <w:rFonts w:ascii="Arial" w:hAnsi="Arial" w:cs="Arial"/>
          <w:b/>
          <w:sz w:val="22"/>
          <w:szCs w:val="22"/>
        </w:rPr>
        <w:t>(for undergraduates)</w:t>
      </w:r>
    </w:p>
    <w:p w14:paraId="63D62DC8" w14:textId="77777777" w:rsidR="00AE3C4C" w:rsidRPr="00487669" w:rsidRDefault="00AE3C4C" w:rsidP="00AE3C4C">
      <w:pPr>
        <w:jc w:val="center"/>
        <w:rPr>
          <w:rFonts w:ascii="Arial" w:hAnsi="Arial" w:cs="Arial"/>
          <w:b/>
          <w:sz w:val="22"/>
          <w:szCs w:val="22"/>
        </w:rPr>
      </w:pPr>
    </w:p>
    <w:p w14:paraId="2AA731CA" w14:textId="77777777" w:rsidR="00AE3C4C" w:rsidRPr="00487669" w:rsidRDefault="00AE3C4C" w:rsidP="00AE3C4C">
      <w:pPr>
        <w:jc w:val="center"/>
        <w:rPr>
          <w:rFonts w:ascii="Arial" w:eastAsia="PMingLiU" w:hAnsi="Arial" w:cs="Arial"/>
          <w:b/>
          <w:sz w:val="22"/>
          <w:szCs w:val="22"/>
          <w:lang w:eastAsia="zh-TW"/>
        </w:rPr>
      </w:pPr>
      <w:r w:rsidRPr="00487669">
        <w:rPr>
          <w:rFonts w:ascii="Arial" w:hAnsi="Arial" w:cs="Arial"/>
          <w:b/>
          <w:sz w:val="22"/>
          <w:szCs w:val="22"/>
        </w:rPr>
        <w:t>R</w:t>
      </w:r>
      <w:r w:rsidRPr="00487669">
        <w:rPr>
          <w:rFonts w:ascii="Arial" w:eastAsia="PMingLiU" w:hAnsi="Arial" w:cs="Arial"/>
          <w:b/>
          <w:sz w:val="22"/>
          <w:szCs w:val="22"/>
          <w:lang w:eastAsia="zh-TW"/>
        </w:rPr>
        <w:t>esearch Project Outline</w:t>
      </w:r>
    </w:p>
    <w:p w14:paraId="6B2DEDF1" w14:textId="77777777" w:rsidR="00AE3C4C" w:rsidRPr="00487669" w:rsidRDefault="00AE3C4C" w:rsidP="00AE3C4C">
      <w:pPr>
        <w:tabs>
          <w:tab w:val="left" w:pos="0"/>
        </w:tabs>
        <w:jc w:val="both"/>
        <w:rPr>
          <w:rFonts w:ascii="Arial" w:eastAsia="PMingLiU" w:hAnsi="Arial" w:cs="Arial"/>
          <w:lang w:eastAsia="zh-TW"/>
        </w:rPr>
      </w:pPr>
    </w:p>
    <w:p w14:paraId="5C0E3567" w14:textId="77777777" w:rsidR="00AE3C4C" w:rsidRPr="00487669" w:rsidRDefault="00AE3C4C" w:rsidP="00AE3C4C">
      <w:pPr>
        <w:tabs>
          <w:tab w:val="left" w:pos="0"/>
        </w:tabs>
        <w:ind w:right="-90"/>
        <w:jc w:val="both"/>
        <w:rPr>
          <w:rFonts w:ascii="Arial" w:hAnsi="Arial" w:cs="Arial"/>
        </w:rPr>
      </w:pPr>
      <w:r w:rsidRPr="00487669">
        <w:rPr>
          <w:rFonts w:ascii="Arial" w:eastAsia="PMingLiU" w:hAnsi="Arial" w:cs="Arial"/>
          <w:lang w:eastAsia="zh-TW"/>
        </w:rPr>
        <w:t>IASP 409</w:t>
      </w:r>
      <w:r w:rsidR="00F96186" w:rsidRPr="00487669">
        <w:rPr>
          <w:rFonts w:ascii="Arial" w:eastAsia="PMingLiU" w:hAnsi="Arial" w:cs="Arial"/>
          <w:lang w:eastAsia="zh-TW"/>
        </w:rPr>
        <w:t>0</w:t>
      </w:r>
      <w:r w:rsidRPr="00487669">
        <w:rPr>
          <w:rFonts w:ascii="Arial" w:eastAsia="PMingLiU" w:hAnsi="Arial" w:cs="Arial"/>
          <w:lang w:eastAsia="zh-TW"/>
        </w:rPr>
        <w:t xml:space="preserve"> is a 3-unit course organised by the O</w:t>
      </w:r>
      <w:r w:rsidRPr="00487669">
        <w:rPr>
          <w:rFonts w:ascii="Arial" w:eastAsia="PMingLiU" w:hAnsi="Arial" w:cs="Arial" w:hint="eastAsia"/>
          <w:lang w:eastAsia="zh-TW"/>
        </w:rPr>
        <w:t>ffice of Academic Links</w:t>
      </w:r>
      <w:r w:rsidRPr="00487669">
        <w:rPr>
          <w:rFonts w:ascii="Arial" w:eastAsia="PMingLiU" w:hAnsi="Arial" w:cs="Arial"/>
          <w:lang w:eastAsia="zh-TW"/>
        </w:rPr>
        <w:t xml:space="preserve"> (OAL) to students who engage in a short-term project supervised by a CUHK faculty member. Supervisors are recommended to assess the students periodically to review the progress of their work and determine their workload during the attachment.</w:t>
      </w:r>
      <w:r w:rsidRPr="00487669">
        <w:t xml:space="preserve"> </w:t>
      </w:r>
      <w:r w:rsidRPr="00487669">
        <w:rPr>
          <w:rFonts w:ascii="Arial" w:eastAsia="PMingLiU" w:hAnsi="Arial" w:cs="Arial"/>
          <w:lang w:eastAsia="zh-TW"/>
        </w:rPr>
        <w:t>A grade will be provided to the students at the end of the programme.</w:t>
      </w:r>
    </w:p>
    <w:p w14:paraId="28239E31" w14:textId="77777777" w:rsidR="00AE3C4C" w:rsidRPr="00487669" w:rsidRDefault="00AE3C4C" w:rsidP="00AE3C4C">
      <w:pPr>
        <w:tabs>
          <w:tab w:val="left" w:pos="0"/>
        </w:tabs>
        <w:ind w:right="-90"/>
        <w:jc w:val="both"/>
        <w:rPr>
          <w:rFonts w:ascii="Arial" w:hAnsi="Arial" w:cs="Arial"/>
        </w:rPr>
      </w:pPr>
    </w:p>
    <w:p w14:paraId="7978753F" w14:textId="77777777" w:rsidR="00AE3C4C" w:rsidRPr="00487669" w:rsidRDefault="00AE3C4C" w:rsidP="00AE3C4C">
      <w:pPr>
        <w:snapToGrid w:val="0"/>
        <w:jc w:val="both"/>
        <w:rPr>
          <w:rFonts w:ascii="Arial" w:hAnsi="Arial" w:cs="Arial"/>
          <w:color w:val="000000"/>
        </w:rPr>
      </w:pPr>
      <w:r w:rsidRPr="00487669">
        <w:rPr>
          <w:rFonts w:ascii="Arial" w:hAnsi="Arial" w:cs="Arial"/>
          <w:color w:val="000000"/>
        </w:rPr>
        <w:t xml:space="preserve">Please provide a project outline and return this form to OAL (e-mail: </w:t>
      </w:r>
      <w:hyperlink r:id="rId9" w:history="1">
        <w:r w:rsidR="00316A89" w:rsidRPr="002F0362">
          <w:rPr>
            <w:rStyle w:val="Hyperlink"/>
            <w:rFonts w:ascii="Arial" w:hAnsi="Arial" w:cs="Arial"/>
          </w:rPr>
          <w:t>surp@cuhk.edu.hk</w:t>
        </w:r>
      </w:hyperlink>
      <w:r w:rsidRPr="00487669">
        <w:rPr>
          <w:rFonts w:ascii="Arial" w:hAnsi="Arial" w:cs="Arial"/>
          <w:color w:val="000000"/>
        </w:rPr>
        <w:t xml:space="preserve">). The project outline will be sent to the students to help them prepare for the research attachment. </w:t>
      </w:r>
    </w:p>
    <w:p w14:paraId="1D36DB9D" w14:textId="77777777" w:rsidR="00AE3C4C" w:rsidRPr="00487669" w:rsidRDefault="00AE3C4C" w:rsidP="00AE3C4C">
      <w:pPr>
        <w:tabs>
          <w:tab w:val="left" w:pos="0"/>
        </w:tabs>
        <w:ind w:right="-90"/>
        <w:jc w:val="both"/>
        <w:rPr>
          <w:rFonts w:eastAsia="PMingLiU"/>
          <w:b/>
          <w:sz w:val="12"/>
          <w:szCs w:val="12"/>
          <w:lang w:eastAsia="zh-TW"/>
        </w:rPr>
      </w:pPr>
    </w:p>
    <w:p w14:paraId="5C93D4E6" w14:textId="77777777" w:rsidR="00AE3C4C" w:rsidRPr="00487669" w:rsidRDefault="00AE3C4C" w:rsidP="00AE3C4C">
      <w:pPr>
        <w:tabs>
          <w:tab w:val="left" w:pos="720"/>
          <w:tab w:val="left" w:pos="5760"/>
          <w:tab w:val="left" w:pos="7200"/>
        </w:tabs>
        <w:rPr>
          <w:rFonts w:eastAsia="PMingLiU"/>
          <w:sz w:val="12"/>
          <w:szCs w:val="12"/>
          <w:lang w:eastAsia="zh-TW"/>
        </w:rPr>
      </w:pPr>
    </w:p>
    <w:p w14:paraId="2E5B649B" w14:textId="77777777" w:rsidR="00AE3C4C" w:rsidRPr="00487669" w:rsidRDefault="00AE3C4C" w:rsidP="00AE3C4C">
      <w:pPr>
        <w:tabs>
          <w:tab w:val="left" w:pos="720"/>
          <w:tab w:val="left" w:pos="5760"/>
          <w:tab w:val="left" w:pos="7200"/>
        </w:tabs>
        <w:rPr>
          <w:rFonts w:eastAsia="PMingLiU"/>
          <w:b/>
          <w:sz w:val="6"/>
          <w:szCs w:val="6"/>
          <w:lang w:eastAsia="zh-T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9"/>
        <w:gridCol w:w="2333"/>
        <w:gridCol w:w="1261"/>
        <w:gridCol w:w="3415"/>
      </w:tblGrid>
      <w:tr w:rsidR="00AE3C4C" w:rsidRPr="00487669" w14:paraId="4AC721FB" w14:textId="77777777" w:rsidTr="00336C3B">
        <w:trPr>
          <w:trHeight w:val="191"/>
        </w:trPr>
        <w:tc>
          <w:tcPr>
            <w:tcW w:w="9242" w:type="dxa"/>
            <w:gridSpan w:val="4"/>
            <w:shd w:val="clear" w:color="auto" w:fill="595959"/>
            <w:vAlign w:val="center"/>
          </w:tcPr>
          <w:p w14:paraId="032F5B1D" w14:textId="77777777" w:rsidR="00AE3C4C" w:rsidRPr="00487669" w:rsidRDefault="00AE3C4C" w:rsidP="00336C3B">
            <w:pPr>
              <w:tabs>
                <w:tab w:val="left" w:pos="0"/>
                <w:tab w:val="left" w:pos="5040"/>
              </w:tabs>
              <w:adjustRightInd w:val="0"/>
              <w:snapToGrid w:val="0"/>
              <w:jc w:val="both"/>
              <w:rPr>
                <w:rFonts w:ascii="Arial" w:eastAsia="PMingLiU" w:hAnsi="Arial" w:cs="Arial"/>
                <w:color w:val="FFFFFF"/>
                <w:lang w:eastAsia="zh-TW"/>
              </w:rPr>
            </w:pPr>
            <w:r w:rsidRPr="00487669">
              <w:rPr>
                <w:rFonts w:ascii="Arial" w:eastAsia="PMingLiU" w:hAnsi="Arial" w:cs="Arial"/>
                <w:b/>
                <w:color w:val="FFFFFF"/>
                <w:lang w:eastAsia="zh-TW"/>
              </w:rPr>
              <w:t xml:space="preserve">Section I – </w:t>
            </w:r>
            <w:r w:rsidRPr="00487669">
              <w:rPr>
                <w:rFonts w:ascii="Arial" w:eastAsia="PMingLiU" w:hAnsi="Arial" w:cs="Arial" w:hint="eastAsia"/>
                <w:b/>
                <w:color w:val="FFFFFF"/>
                <w:lang w:eastAsia="zh-TW"/>
              </w:rPr>
              <w:t>Supervisor</w:t>
            </w:r>
            <w:r w:rsidRPr="00487669">
              <w:rPr>
                <w:rFonts w:ascii="Arial" w:eastAsia="PMingLiU" w:hAnsi="Arial" w:cs="Arial"/>
                <w:b/>
                <w:color w:val="FFFFFF"/>
                <w:lang w:eastAsia="zh-TW"/>
              </w:rPr>
              <w:t xml:space="preserve"> </w:t>
            </w:r>
            <w:r w:rsidRPr="00487669">
              <w:rPr>
                <w:rFonts w:ascii="Arial" w:eastAsia="PMingLiU" w:hAnsi="Arial" w:cs="Arial" w:hint="eastAsia"/>
                <w:b/>
                <w:color w:val="FFFFFF"/>
                <w:lang w:eastAsia="zh-TW"/>
              </w:rPr>
              <w:t>Informatio</w:t>
            </w:r>
            <w:r w:rsidRPr="00487669">
              <w:rPr>
                <w:rFonts w:ascii="Arial" w:eastAsia="PMingLiU" w:hAnsi="Arial" w:cs="Arial"/>
                <w:b/>
                <w:color w:val="FFFFFF"/>
                <w:lang w:eastAsia="zh-TW"/>
              </w:rPr>
              <w:t>n</w:t>
            </w:r>
          </w:p>
        </w:tc>
      </w:tr>
      <w:tr w:rsidR="00DA2401" w:rsidRPr="00487669" w14:paraId="303AA768" w14:textId="77777777" w:rsidTr="00336C3B">
        <w:trPr>
          <w:trHeight w:val="345"/>
        </w:trPr>
        <w:tc>
          <w:tcPr>
            <w:tcW w:w="1957" w:type="dxa"/>
          </w:tcPr>
          <w:p w14:paraId="546F67BC" w14:textId="77777777" w:rsidR="00AE3C4C" w:rsidRPr="00487669" w:rsidRDefault="00AE3C4C" w:rsidP="00C422D8">
            <w:pPr>
              <w:tabs>
                <w:tab w:val="left" w:pos="0"/>
                <w:tab w:val="left" w:pos="5040"/>
              </w:tabs>
              <w:rPr>
                <w:rFonts w:ascii="Arial" w:eastAsia="PMingLiU" w:hAnsi="Arial" w:cs="Arial"/>
                <w:lang w:eastAsia="zh-TW"/>
              </w:rPr>
            </w:pPr>
            <w:r w:rsidRPr="00487669">
              <w:rPr>
                <w:rFonts w:ascii="Arial" w:hAnsi="Arial" w:cs="Arial"/>
              </w:rPr>
              <w:t>Name of Supervisor</w:t>
            </w:r>
          </w:p>
        </w:tc>
        <w:tc>
          <w:tcPr>
            <w:tcW w:w="2430" w:type="dxa"/>
          </w:tcPr>
          <w:p w14:paraId="50EB8810" w14:textId="509CBE96" w:rsidR="00AE3C4C" w:rsidRPr="00487669" w:rsidRDefault="00D42FB4" w:rsidP="00712288">
            <w:pPr>
              <w:tabs>
                <w:tab w:val="left" w:pos="0"/>
                <w:tab w:val="left" w:pos="5040"/>
              </w:tabs>
              <w:rPr>
                <w:rFonts w:ascii="Arial" w:eastAsia="PMingLiU" w:hAnsi="Arial" w:cs="Arial"/>
                <w:b/>
                <w:lang w:eastAsia="zh-TW"/>
              </w:rPr>
            </w:pPr>
            <w:r>
              <w:rPr>
                <w:rFonts w:ascii="Arial" w:eastAsia="PMingLiU" w:hAnsi="Arial" w:cs="Arial" w:hint="eastAsia"/>
                <w:b/>
              </w:rPr>
              <w:t>Yangqian Yan</w:t>
            </w:r>
          </w:p>
        </w:tc>
        <w:tc>
          <w:tcPr>
            <w:tcW w:w="1260" w:type="dxa"/>
          </w:tcPr>
          <w:p w14:paraId="76CFB5CF" w14:textId="77777777" w:rsidR="00AE3C4C" w:rsidRPr="00487669" w:rsidRDefault="00AE3C4C" w:rsidP="00336C3B">
            <w:pPr>
              <w:tabs>
                <w:tab w:val="left" w:pos="0"/>
                <w:tab w:val="left" w:pos="5040"/>
              </w:tabs>
              <w:jc w:val="both"/>
              <w:rPr>
                <w:rFonts w:ascii="Arial" w:eastAsia="PMingLiU" w:hAnsi="Arial" w:cs="Arial"/>
                <w:lang w:eastAsia="zh-TW"/>
              </w:rPr>
            </w:pPr>
            <w:r w:rsidRPr="00487669">
              <w:rPr>
                <w:rFonts w:ascii="Arial" w:hAnsi="Arial" w:cs="Arial"/>
              </w:rPr>
              <w:t>Department</w:t>
            </w:r>
          </w:p>
        </w:tc>
        <w:tc>
          <w:tcPr>
            <w:tcW w:w="3595" w:type="dxa"/>
          </w:tcPr>
          <w:p w14:paraId="197ECAE6" w14:textId="482D363D" w:rsidR="00AE3C4C" w:rsidRPr="00487669" w:rsidRDefault="00AE3C4C" w:rsidP="00336C3B">
            <w:pPr>
              <w:tabs>
                <w:tab w:val="left" w:pos="0"/>
                <w:tab w:val="left" w:pos="5040"/>
              </w:tabs>
              <w:rPr>
                <w:rFonts w:ascii="Arial" w:eastAsia="PMingLiU" w:hAnsi="Arial" w:cs="Arial"/>
                <w:b/>
                <w:lang w:eastAsia="zh-TW"/>
              </w:rPr>
            </w:pPr>
            <w:r>
              <w:t>Department of Physics</w:t>
            </w:r>
          </w:p>
        </w:tc>
      </w:tr>
      <w:tr w:rsidR="00AE3C4C" w:rsidRPr="00487669" w14:paraId="2C068422" w14:textId="77777777" w:rsidTr="00336C3B">
        <w:trPr>
          <w:trHeight w:val="345"/>
        </w:trPr>
        <w:tc>
          <w:tcPr>
            <w:tcW w:w="1957" w:type="dxa"/>
            <w:vAlign w:val="center"/>
          </w:tcPr>
          <w:p w14:paraId="5535100E" w14:textId="77777777" w:rsidR="00AE3C4C" w:rsidRPr="00487669" w:rsidRDefault="00AE3C4C" w:rsidP="00336C3B">
            <w:pPr>
              <w:tabs>
                <w:tab w:val="left" w:pos="0"/>
                <w:tab w:val="left" w:pos="5040"/>
              </w:tabs>
              <w:jc w:val="both"/>
              <w:rPr>
                <w:rFonts w:ascii="Arial" w:eastAsia="PMingLiU" w:hAnsi="Arial" w:cs="Arial"/>
                <w:lang w:eastAsia="zh-TW"/>
              </w:rPr>
            </w:pPr>
            <w:r w:rsidRPr="00487669">
              <w:rPr>
                <w:rFonts w:ascii="Arial" w:hAnsi="Arial" w:cs="Arial"/>
              </w:rPr>
              <w:t>Research Topic</w:t>
            </w:r>
          </w:p>
        </w:tc>
        <w:tc>
          <w:tcPr>
            <w:tcW w:w="7285" w:type="dxa"/>
            <w:gridSpan w:val="3"/>
            <w:vAlign w:val="center"/>
          </w:tcPr>
          <w:p w14:paraId="6FB5C9AA" w14:textId="77777777" w:rsidR="00AE3C4C" w:rsidRPr="00487669" w:rsidRDefault="00AE3C4C" w:rsidP="00F039A9">
            <w:pPr>
              <w:tabs>
                <w:tab w:val="left" w:pos="0"/>
                <w:tab w:val="left" w:pos="5040"/>
              </w:tabs>
              <w:rPr>
                <w:rFonts w:ascii="Arial" w:eastAsia="PMingLiU" w:hAnsi="Arial" w:cs="Arial"/>
                <w:b/>
                <w:lang w:eastAsia="zh-TW"/>
              </w:rPr>
            </w:pPr>
            <w:r>
              <w:t>Optimal Laser-Constrained Control of Molecular Formation from a Quantum Gas via Optical Feshbach Resonances</w:t>
            </w:r>
          </w:p>
        </w:tc>
      </w:tr>
    </w:tbl>
    <w:p w14:paraId="1107CC1E" w14:textId="77777777" w:rsidR="00AE3C4C" w:rsidRPr="00487669" w:rsidRDefault="00AE3C4C" w:rsidP="00AE3C4C">
      <w:pPr>
        <w:tabs>
          <w:tab w:val="left" w:pos="1800"/>
        </w:tabs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08"/>
      </w:tblGrid>
      <w:tr w:rsidR="00AE3C4C" w:rsidRPr="00487669" w14:paraId="55D18465" w14:textId="77777777" w:rsidTr="00925EB5">
        <w:tc>
          <w:tcPr>
            <w:tcW w:w="8908" w:type="dxa"/>
            <w:tcBorders>
              <w:bottom w:val="single" w:sz="4" w:space="0" w:color="auto"/>
            </w:tcBorders>
            <w:shd w:val="clear" w:color="auto" w:fill="595959"/>
          </w:tcPr>
          <w:p w14:paraId="732E647A" w14:textId="77777777" w:rsidR="00AE3C4C" w:rsidRPr="00487669" w:rsidRDefault="00AE3C4C" w:rsidP="00336C3B">
            <w:pPr>
              <w:tabs>
                <w:tab w:val="left" w:pos="720"/>
                <w:tab w:val="left" w:pos="5760"/>
                <w:tab w:val="left" w:pos="7200"/>
              </w:tabs>
              <w:rPr>
                <w:rFonts w:ascii="Arial" w:eastAsia="PMingLiU" w:hAnsi="Arial" w:cs="Arial"/>
                <w:b/>
                <w:color w:val="FFFFFF"/>
                <w:lang w:eastAsia="zh-TW"/>
              </w:rPr>
            </w:pPr>
            <w:r w:rsidRPr="00487669">
              <w:rPr>
                <w:rFonts w:ascii="Arial" w:eastAsia="PMingLiU" w:hAnsi="Arial" w:cs="Arial"/>
                <w:b/>
                <w:color w:val="FFFFFF"/>
                <w:lang w:eastAsia="zh-TW"/>
              </w:rPr>
              <w:t>Section II – Project Outline</w:t>
            </w:r>
          </w:p>
        </w:tc>
      </w:tr>
    </w:tbl>
    <w:p w14:paraId="4BF7E232" w14:textId="77777777" w:rsidR="00AE3C4C" w:rsidRPr="00487669" w:rsidRDefault="00AE3C4C" w:rsidP="00AE3C4C">
      <w:pPr>
        <w:pStyle w:val="BodyText2"/>
        <w:numPr>
          <w:ilvl w:val="0"/>
          <w:numId w:val="1"/>
        </w:numPr>
        <w:tabs>
          <w:tab w:val="clear" w:pos="720"/>
          <w:tab w:val="left" w:pos="270"/>
        </w:tabs>
        <w:ind w:hanging="270"/>
        <w:jc w:val="both"/>
        <w:rPr>
          <w:rFonts w:ascii="Arial" w:hAnsi="Arial" w:cs="Arial"/>
          <w:b w:val="0"/>
          <w:sz w:val="20"/>
        </w:rPr>
      </w:pPr>
      <w:r w:rsidRPr="00487669">
        <w:rPr>
          <w:rFonts w:ascii="Arial" w:hAnsi="Arial" w:cs="Arial"/>
          <w:b w:val="0"/>
          <w:sz w:val="20"/>
        </w:rPr>
        <w:t>Project Objectives and Expected Learning Outcomes</w:t>
      </w: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05"/>
      </w:tblGrid>
      <w:tr w:rsidR="00AE3C4C" w:rsidRPr="00487669" w14:paraId="1FAEB65D" w14:textId="77777777" w:rsidTr="0087471E">
        <w:trPr>
          <w:trHeight w:val="173"/>
        </w:trPr>
        <w:tc>
          <w:tcPr>
            <w:tcW w:w="8905" w:type="dxa"/>
            <w:tcBorders>
              <w:bottom w:val="single" w:sz="4" w:space="0" w:color="auto"/>
            </w:tcBorders>
          </w:tcPr>
          <w:p w14:paraId="5C02A512" w14:textId="2E105760" w:rsidR="00735B83" w:rsidRDefault="00735B83" w:rsidP="00735B83">
            <w:r>
              <w:t>Ultracold quantum gases provide the most controllable laboratory platform for studying few-body interaction physics. A key experimental capability is the time-dependent tuning of the s-wave scattering length a_s, most commonly via a magnetic or optical Feshbach resonance, which allows the strength of atomic interactions to be driven on demand. A natural and operationally important question is: given freedom to design the temporal profile a_s(t), what is the protocol that maximizes the molecular yield accumulated over a fixed observation window of duration T?</w:t>
            </w:r>
          </w:p>
          <w:p w14:paraId="6C8380F9" w14:textId="77777777" w:rsidR="00735B83" w:rsidRDefault="00735B83" w:rsidP="00735B83"/>
          <w:p w14:paraId="0BF7BDB5" w14:textId="43F4C2E2" w:rsidR="00735B83" w:rsidRDefault="00735B83" w:rsidP="00735B83">
            <w:r>
              <w:t>For real-valued scattering lengths, Qi, Shi, and Zhai [Phys. Rev. Lett. 126, 240401 (2021)] showed that a universal short-time onset law governs the growth of Tan's contact (the universal short-range pair-correlation density) under a square-root ramp a_s(t) ∝ √(ℏt/m). Their result identifies a clean "scale-invariant" framework in which the short-time many-body kinetics is governed by a single Volterra integral equation with a half-derivative kernel, the structure of which is fixed by the universal short-distance two-body physics rather than by any specific microscopic detail of the gas. This is the right starting point for posing an optimization question: the universal kinetics defines a clean control-theoretic playground in which different time-dependent ramps a_s(t) can be compared on equal footing.</w:t>
            </w:r>
          </w:p>
          <w:p w14:paraId="3A3575F0" w14:textId="77777777" w:rsidR="00735B83" w:rsidRDefault="00735B83" w:rsidP="00735B83"/>
          <w:p w14:paraId="2FFA3FF8" w14:textId="1FE53D1B" w:rsidR="00735B83" w:rsidRDefault="00735B83" w:rsidP="00735B83">
            <w:r>
              <w:t>In an optical Feshbach resonance (OFR), the same laser that displaces Re(a_s) also opens an inelastic channel via the finite lifetime of the photoassociation intermediate state. The effective scattering length is then complex, a_c = Re(a_c) + i Im(a_c), with Im(a_c) &lt; 0 encoding loss into molecular products. The loss–contact relation [E. Braaten and L. Platter, Phys. Rev. Lett. 100, 205301 (2008)] then ties the product-formation rate to Tan's contact through ṅ_m(t) ∝ Im(1/a_c(t)) · C(t). Generalizing the Qi-Shi-Zhai short-time kinetics to complex a_c gives a clean and concrete optimization problem: find the trajectory of a_c(t) that maximizes N_m(T) = ∫₀^T ṅ_m(t) dt for fixed T.</w:t>
            </w:r>
          </w:p>
          <w:p w14:paraId="2E74E762" w14:textId="77777777" w:rsidR="00735B83" w:rsidRDefault="00735B83" w:rsidP="00735B83"/>
          <w:p w14:paraId="55DD6FB8" w14:textId="386608F4" w:rsidR="00735B83" w:rsidRDefault="00735B83" w:rsidP="00735B83">
            <w:r>
              <w:t>The product flux ṅ_m(t) ∝ Im(1/a_c(t)) · |η(t)|² couples a point-wise factor Im(1/a_c) — set freely by the protocol at each instant — to a non-local factor |η(t)|² built by the entire past history of a_c through a Volterra integral equation with a half-derivative kernel. This is the classic structure of an optimal-control problem on an integro-differential equation. Without an additional physical input, such problems generically admit singular ("bang-bang" or delta-function-like) solutions in which the active control is concentrated on vanishingly short time windows. Such mathematical limits are formally interesting but operationally inaccessible: no real experiment can realize an unbounded delta function in the inverse scattering length. The scientifically meaningful question is therefore: what is the optimal PHYSICALLY REALIZABLE protocol — and what is the right physical constraint that decides it?</w:t>
            </w:r>
          </w:p>
          <w:p w14:paraId="2B13CCDF" w14:textId="77777777" w:rsidR="00735B83" w:rsidRDefault="00735B83" w:rsidP="00735B83"/>
          <w:p w14:paraId="31A7577C" w14:textId="77777777" w:rsidR="00735B83" w:rsidRDefault="00735B83" w:rsidP="00735B83">
            <w:r>
              <w:lastRenderedPageBreak/>
              <w:t>The physical constraint. — In a real experiment, a_c(t) is not a free function; it is the output of a control protocol acting on a physical knob. The cleanest such knob is a laser driving an OFR. The standard two-channel mapping [J. L. Bohn and P. S. Julienne, Phys. Rev. A 56, 1486 (1997); M. Theis et al., Phys. Rev. Lett. 93, 123001 (2004); reviewed in C. Chin, R. Grimm, P. S. Julienne, and E. Tiesinga, Rev. Mod. Phys. 82, 1225 (2010), §VI] gives</w:t>
            </w:r>
          </w:p>
          <w:p w14:paraId="7BD40D08" w14:textId="77777777" w:rsidR="00735B83" w:rsidRDefault="00735B83" w:rsidP="00735B83"/>
          <w:p w14:paraId="1104D5B5" w14:textId="77777777" w:rsidR="00735B83" w:rsidRDefault="00735B83" w:rsidP="00735B83">
            <w:r>
              <w:t xml:space="preserve">      a_c(I, ν) = a_bg · [ 1 + Γ(I) / ( −ν − Γ(I) + i γ/2 ) ],</w:t>
            </w:r>
          </w:p>
          <w:p w14:paraId="01874684" w14:textId="77777777" w:rsidR="00735B83" w:rsidRDefault="00735B83" w:rsidP="00735B83"/>
          <w:p w14:paraId="3DA8ED8D" w14:textId="77777777" w:rsidR="00735B83" w:rsidRDefault="00735B83" w:rsidP="00735B83">
            <w:r>
              <w:t>where Γ(I) is the stimulated coupling rate (proportional to the laser intensity I), ν is the detuning of the laser from the closed-channel photoassociation resonance, and γ is the spontaneous decay rate of the excited molecular state. Two essential physical facts follow:</w:t>
            </w:r>
          </w:p>
          <w:p w14:paraId="14AE0B86" w14:textId="77777777" w:rsidR="00735B83" w:rsidRDefault="00735B83" w:rsidP="00735B83"/>
          <w:p w14:paraId="73FCD5B0" w14:textId="77777777" w:rsidR="00735B83" w:rsidRDefault="00735B83" w:rsidP="00735B83">
            <w:r>
              <w:t>(a) Re(a_c) and Im(a_c) are NOT independent control knobs. They are jointly determined by the two physical knobs (I, ν). Any abstract control protocol that varies the two quadratures of a_c independently corresponds to no real experiment.</w:t>
            </w:r>
          </w:p>
          <w:p w14:paraId="459EC21D" w14:textId="77777777" w:rsidR="00735B83" w:rsidRDefault="00735B83" w:rsidP="00735B83"/>
          <w:p w14:paraId="7689B211" w14:textId="77777777" w:rsidR="00735B83" w:rsidRDefault="00735B83" w:rsidP="00735B83">
            <w:r>
              <w:t>(b) The laser intensity is bounded. Real laser sources deliver finite power, and the intensity at the atomic cloud is a hard experimental bottleneck. The natural physical constraint is therefore I(t) ≤ I_max, with I_max set by the available laser system. Narrow-line OFRs in alkaline-earth systems (⁸⁸Sr ¹S₀–³P₁ intercombination photoassociation, ¹⁷³Yb) are the most attractive testbeds: γ is small (kHz-scale) so large fractional changes in a_c are accessible at moderate intensities while spontaneous-emission losses remain controllable.</w:t>
            </w:r>
          </w:p>
          <w:p w14:paraId="1B8126B8" w14:textId="77777777" w:rsidR="00735B83" w:rsidRDefault="00735B83" w:rsidP="00735B83"/>
          <w:p w14:paraId="44B73417" w14:textId="3D7251CE" w:rsidR="00735B83" w:rsidRDefault="00735B83" w:rsidP="00735B83">
            <w:r>
              <w:t>The students will (i) develop a working understanding of cold-atom scattering, Tan's contact and the loss–contact relation, and the OFR two-channel mapping; (ii) formulate the molecular-yield optimization problem in terms of the physical control variables (I(t), ν(t)) under the realistic constraint I(t) ≤ I_max; (iii) implement and validate a numerical solver for the underlying half-derivative Volterra equation together with a gradient-based (GRAPE-style) optimization loop in JAX; (iv) characterize how the optimal yield depends on the available laser-intensity budget I_max, identifying the regime in which the cap binds and the regime in which increasing I_max no longer changes the yield; and (v) translate the dimensionless answer into concrete experimental parameters (intensity in mW/cm², detuning in MHz, ramp duration in ms) for one representative narrow-line system, ⁸⁸Sr or ¹⁷³Yb. The intended scientific outcome is a "yield versus available laser intensity" curve that connects the abstract optimization problem to a quantity an experimentalist can read off directly to plan a measurement.</w:t>
            </w:r>
          </w:p>
          <w:p w14:paraId="435628A0" w14:textId="77777777" w:rsidR="00735B83" w:rsidRDefault="00735B83" w:rsidP="00735B83"/>
          <w:p w14:paraId="581EAB12" w14:textId="65B92B84" w:rsidR="00735B83" w:rsidRDefault="00735B83" w:rsidP="00735B83">
            <w:pPr>
              <w:rPr>
                <w:rFonts w:eastAsia="SimSun"/>
              </w:rPr>
            </w:pPr>
            <w:r>
              <w:t>The physics background is demanding but self-contained: cold-atom scattering, Feshbach resonances, and Tan's contact each have excellent textbook and review treatments. The supervisor will provide a JAX-based starter implementation of the Volterra solver and the GRAPE optimization loop; the students' first job is to study, validate, and then extend this starter code with the (I, ν) parameterization. The conceptual contribution — adopting (I, ν) as the natural control variables under a single physical cap — is a focused refactoring with a clearly defined deliverable. The project therefore offers a self-contained mini-research problem: a precisely posed question, a working code base to start from, a small but meaningful new contribution, and an explicit path from "dimensionless number" to "experimental prescription".</w:t>
            </w:r>
          </w:p>
          <w:p w14:paraId="2C413107" w14:textId="77777777" w:rsidR="00735B83" w:rsidRDefault="00735B83">
            <w:pPr>
              <w:rPr>
                <w:rFonts w:eastAsia="SimSun"/>
              </w:rPr>
            </w:pPr>
          </w:p>
          <w:p w14:paraId="7FAD8688" w14:textId="758DB326" w:rsidR="001862CB" w:rsidRDefault="00A1448A">
            <w:r>
              <w:t>Project Objectives:</w:t>
            </w:r>
          </w:p>
          <w:p w14:paraId="3F0EFE9A" w14:textId="77777777" w:rsidR="001862CB" w:rsidRDefault="00A1448A">
            <w:r>
              <w:t>1. Master the two-channel optical-Feshbach mapping that relates the (real) laser intensity and detuning to the complex s-wave scattering length, and verify the formula analytically against limiting cases (no laser, resonance pole, large-detuning regime).</w:t>
            </w:r>
          </w:p>
          <w:p w14:paraId="3D4A22B4" w14:textId="77777777" w:rsidR="001862CB" w:rsidRDefault="00A1448A">
            <w:r>
              <w:t>2. Modify the existing GRAPE code so that the time-dependent optimization variables are the physical laser controls (Γ(t), ν(t)) and not the complex scattering length directly, with the laser-intensity bound Γ(t) ≤ Γ_max imposed via a smooth (sigmoid) clip.</w:t>
            </w:r>
          </w:p>
          <w:p w14:paraId="6022152D" w14:textId="77777777" w:rsidR="001862CB" w:rsidRDefault="00A1448A">
            <w:r>
              <w:t>3. Run the constrained optimization to convergence for representative laser-power caps and grid sizes, and confirm absence of seed sensitivity.</w:t>
            </w:r>
          </w:p>
          <w:p w14:paraId="16934B9F" w14:textId="77777777" w:rsidR="001862CB" w:rsidRDefault="00A1448A">
            <w:r>
              <w:t>4. Sweep Γ_max/γ over ~3 decades to characterize how the optimal molecular yield depends on the available laser-intensity budget; identify the regime where the cap binds (tight cap, optimal yield limited by available laser power) and the regime where increasing Γ_max no longer changes the yield (loose cap, the cap stops mattering), and compare the yield in both regimes against the universal onset coefficient.</w:t>
            </w:r>
          </w:p>
          <w:p w14:paraId="2BC8D84C" w14:textId="77777777" w:rsidR="001862CB" w:rsidRDefault="00A1448A">
            <w:r>
              <w:t>5. Translate the dimensionless results into experimentally meaningful units for one narrow-line system (⁸⁸Sr ¹S₀–³P₁ or ¹⁷³Yb ¹S₀–³P₁), giving a single concrete "experimentalist's recipe" plot of expected yield versus laser intensity.</w:t>
            </w:r>
          </w:p>
          <w:p w14:paraId="531EA4AA" w14:textId="77777777" w:rsidR="001862CB" w:rsidRDefault="001862CB"/>
          <w:p w14:paraId="599FEB6B" w14:textId="77777777" w:rsidR="001862CB" w:rsidRDefault="00A1448A">
            <w:r>
              <w:t>Expected Learning Outcomes:</w:t>
            </w:r>
          </w:p>
          <w:p w14:paraId="671743A8" w14:textId="77777777" w:rsidR="001862CB" w:rsidRDefault="00A1448A">
            <w:r>
              <w:lastRenderedPageBreak/>
              <w:t>Physics — Students will acquire working knowledge of (i) ultracold s-wave scattering and the zero-range pseudopotential, (ii) magnetic and optical Feshbach resonances and the two-channel formalism, (iii) Tan's contact and the loss-contact relation as universal short-time observables, (iv) the role of fractional (half-derivative) operators in zero-range many-body kinetics, and (v) the optimal-control framing of dissipative quantum dynamics including the connection to quantum Zeno suppression.</w:t>
            </w:r>
          </w:p>
          <w:p w14:paraId="028B716E" w14:textId="77777777" w:rsidR="001862CB" w:rsidRDefault="001862CB"/>
          <w:p w14:paraId="3A8B43EE" w14:textId="77777777" w:rsidR="001862CB" w:rsidRDefault="00A1448A">
            <w:r>
              <w:t>Numerical and computational methods — Students will learn (vi) the Volterra integral equation that governs the boundary-layer amplitude η(t) and its L1 discretization on a uniform grid, (vii) the GRAPE gradient-ascent pulse-engineering framework, (viii) JAX automatic differentiation including jit compilation and float64 precision, (ix) constrained-optimization parameterizations (softplus/sigmoid maps for one- and two-sided bounds), and (x) reproducible scientific computing with config-driven sweeps, SLURM job arrays, and pandas/CSV-based aggregation.</w:t>
            </w:r>
          </w:p>
          <w:p w14:paraId="0BB9D96F" w14:textId="77777777" w:rsidR="001862CB" w:rsidRDefault="001862CB"/>
          <w:p w14:paraId="73D724E1" w14:textId="77777777" w:rsidR="001862CB" w:rsidRDefault="00A1448A">
            <w:r>
              <w:t>Scientific practice — Students will (xi) develop the habit of reading current research literature critically, (xii) practice writing clear technical notes and a 15–20 page final report, (xiii) deliver a mid-programme and a final oral presentation, and (xiv) work with git and a shared code repository as professional collaborators.</w:t>
            </w:r>
          </w:p>
        </w:tc>
      </w:tr>
      <w:tr w:rsidR="00AE3C4C" w:rsidRPr="00487669" w14:paraId="113E5976" w14:textId="77777777" w:rsidTr="0087471E">
        <w:trPr>
          <w:trHeight w:val="70"/>
        </w:trPr>
        <w:tc>
          <w:tcPr>
            <w:tcW w:w="89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96D38C" w14:textId="77777777" w:rsidR="00AE3C4C" w:rsidRPr="00487669" w:rsidRDefault="00AE3C4C" w:rsidP="00336C3B">
            <w:p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E3C4C" w:rsidRPr="00487669" w14:paraId="6F10CB62" w14:textId="77777777" w:rsidTr="0087471E">
        <w:trPr>
          <w:trHeight w:val="245"/>
        </w:trPr>
        <w:tc>
          <w:tcPr>
            <w:tcW w:w="8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FAAECE" w14:textId="77777777" w:rsidR="00AE3C4C" w:rsidRPr="00487669" w:rsidRDefault="00AE3C4C" w:rsidP="00AE3C4C">
            <w:pPr>
              <w:numPr>
                <w:ilvl w:val="0"/>
                <w:numId w:val="1"/>
              </w:num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ind w:hanging="450"/>
              <w:rPr>
                <w:rFonts w:ascii="Arial" w:hAnsi="Arial" w:cs="Arial"/>
              </w:rPr>
            </w:pPr>
            <w:r w:rsidRPr="00487669">
              <w:rPr>
                <w:rFonts w:ascii="Arial" w:hAnsi="Arial" w:cs="Arial"/>
              </w:rPr>
              <w:t>Work Schedule</w:t>
            </w:r>
          </w:p>
        </w:tc>
      </w:tr>
      <w:tr w:rsidR="00AE3C4C" w:rsidRPr="00487669" w14:paraId="720CBA04" w14:textId="77777777" w:rsidTr="0087471E">
        <w:trPr>
          <w:trHeight w:val="245"/>
        </w:trPr>
        <w:tc>
          <w:tcPr>
            <w:tcW w:w="8905" w:type="dxa"/>
            <w:tcBorders>
              <w:top w:val="single" w:sz="4" w:space="0" w:color="auto"/>
              <w:bottom w:val="single" w:sz="4" w:space="0" w:color="auto"/>
            </w:tcBorders>
          </w:tcPr>
          <w:p w14:paraId="7257516E" w14:textId="77777777" w:rsidR="001862CB" w:rsidRDefault="00A1448A">
            <w:r>
              <w:t>The project runs for eight weeks and is organised in four phases (the detailed week-by-week schedule is provided in Appendix 2):</w:t>
            </w:r>
          </w:p>
          <w:p w14:paraId="1ADBD948" w14:textId="77777777" w:rsidR="001862CB" w:rsidRDefault="001862CB"/>
          <w:p w14:paraId="7F2B5D6B" w14:textId="77777777" w:rsidR="001862CB" w:rsidRDefault="00A1448A">
            <w:r>
              <w:t>Phase 1 — Background and orientation (Weeks 1–2). Read core references, set up the computing environment, internalize the optical-Feshbach two-channel formula.</w:t>
            </w:r>
          </w:p>
          <w:p w14:paraId="3DABCFE7" w14:textId="77777777" w:rsidR="001862CB" w:rsidRDefault="001862CB"/>
          <w:p w14:paraId="0353987B" w14:textId="77777777" w:rsidR="001862CB" w:rsidRDefault="00A1448A">
            <w:r>
              <w:t>Phase 2 — Code orientation and parameterization (Weeks 3–4). Walk through the existing GRAPE/Volterra code, reproduce the unconstrained baseline result, implement the new (Γ, ν) parameterization with the laser-intensity cap. Mid-programme oral presentation at the end of Week 4.</w:t>
            </w:r>
          </w:p>
          <w:p w14:paraId="390D45B4" w14:textId="77777777" w:rsidR="001862CB" w:rsidRDefault="001862CB"/>
          <w:p w14:paraId="4D37EBE0" w14:textId="77777777" w:rsidR="001862CB" w:rsidRDefault="00A1448A">
            <w:r>
              <w:t>Phase 3 — Production runs and sweeps (Weeks 5–6). Run the constrained optimization, sweep Γ_max/γ over ~3 decades, produce the "yield vs laser-power cap" master figure.</w:t>
            </w:r>
          </w:p>
          <w:p w14:paraId="7560C6EA" w14:textId="77777777" w:rsidR="001862CB" w:rsidRDefault="001862CB"/>
          <w:p w14:paraId="1CBBF758" w14:textId="77777777" w:rsidR="001862CB" w:rsidRDefault="00A1448A">
            <w:r>
              <w:t>Phase 4 — Experimental translation and write-up (Weeks 7–8). Translate dimensionless results into experimental units for a representative narrow-line system, write the final report, deliver the final presentation.</w:t>
            </w:r>
          </w:p>
        </w:tc>
      </w:tr>
      <w:tr w:rsidR="00AE3C4C" w:rsidRPr="00487669" w14:paraId="28FD564C" w14:textId="77777777" w:rsidTr="0087471E">
        <w:trPr>
          <w:trHeight w:val="70"/>
        </w:trPr>
        <w:tc>
          <w:tcPr>
            <w:tcW w:w="89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491D7E" w14:textId="77777777" w:rsidR="00AE3C4C" w:rsidRPr="00487669" w:rsidRDefault="00AE3C4C" w:rsidP="00336C3B">
            <w:p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E3C4C" w:rsidRPr="00487669" w14:paraId="6B66D335" w14:textId="77777777" w:rsidTr="0087471E">
        <w:trPr>
          <w:trHeight w:val="245"/>
        </w:trPr>
        <w:tc>
          <w:tcPr>
            <w:tcW w:w="8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E46E43" w14:textId="77777777" w:rsidR="00AE3C4C" w:rsidRPr="00487669" w:rsidRDefault="00AE3C4C" w:rsidP="00AE3C4C">
            <w:pPr>
              <w:numPr>
                <w:ilvl w:val="0"/>
                <w:numId w:val="1"/>
              </w:num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ind w:hanging="450"/>
              <w:rPr>
                <w:rFonts w:ascii="Arial" w:hAnsi="Arial" w:cs="Arial"/>
              </w:rPr>
            </w:pPr>
            <w:r w:rsidRPr="00487669">
              <w:rPr>
                <w:rFonts w:ascii="Arial" w:hAnsi="Arial" w:cs="Arial"/>
              </w:rPr>
              <w:t>Assessment Method</w:t>
            </w:r>
          </w:p>
        </w:tc>
      </w:tr>
      <w:tr w:rsidR="00AE3C4C" w:rsidRPr="00487669" w14:paraId="3904AE22" w14:textId="77777777" w:rsidTr="0087471E">
        <w:trPr>
          <w:trHeight w:val="245"/>
        </w:trPr>
        <w:tc>
          <w:tcPr>
            <w:tcW w:w="8905" w:type="dxa"/>
            <w:tcBorders>
              <w:top w:val="single" w:sz="4" w:space="0" w:color="auto"/>
              <w:bottom w:val="single" w:sz="4" w:space="0" w:color="auto"/>
            </w:tcBorders>
          </w:tcPr>
          <w:p w14:paraId="62C19469" w14:textId="77777777" w:rsidR="001862CB" w:rsidRDefault="00A1448A">
            <w:r>
              <w:t>Continuous assessment based on:</w:t>
            </w:r>
          </w:p>
          <w:p w14:paraId="3767593C" w14:textId="77777777" w:rsidR="001862CB" w:rsidRDefault="00A1448A">
            <w:r>
              <w:t>(i) Weekly progress meetings with the supervisor (~1.5 hours each), in which the students jointly present their progress, show plots, and discuss next steps; weight 20%.</w:t>
            </w:r>
          </w:p>
          <w:p w14:paraId="12D72B84" w14:textId="77777777" w:rsidR="001862CB" w:rsidRDefault="00A1448A">
            <w:r>
              <w:t>(ii) Mid-programme oral presentation at the end of Week 4 (20-minute talk + Q&amp;A) demonstrating that the new code is working and reproduces the baseline; weight 15%.</w:t>
            </w:r>
          </w:p>
          <w:p w14:paraId="63AD1CD3" w14:textId="77777777" w:rsidR="001862CB" w:rsidRDefault="00A1448A">
            <w:r>
              <w:t>(iii) Written final report (15–20 pages) at the end of Week 8 containing motivation, methods, results, comparison with the unconstrained baseline, and a discussion of experimental relevance; weight 40%.</w:t>
            </w:r>
          </w:p>
          <w:p w14:paraId="0337BB80" w14:textId="77777777" w:rsidR="001862CB" w:rsidRDefault="00A1448A">
            <w:r>
              <w:t>(iv) Final oral presentation in Week 8 (25-minute talk + Q&amp;A) to the group; weight 15%.</w:t>
            </w:r>
          </w:p>
          <w:p w14:paraId="0C20BFBF" w14:textId="77777777" w:rsidR="001862CB" w:rsidRDefault="00A1448A">
            <w:r>
              <w:t>(v) Code quality: clarity, modularity, version control, and reproducibility of the runs that produced the figures in the final report; weight 10%.</w:t>
            </w:r>
          </w:p>
          <w:p w14:paraId="5F68B63D" w14:textId="77777777" w:rsidR="001862CB" w:rsidRDefault="001862CB"/>
          <w:p w14:paraId="4F24274E" w14:textId="77777777" w:rsidR="001862CB" w:rsidRDefault="00A1448A">
            <w:r>
              <w:t>Because the two students will work jointly on a single project, the report and code are joint deliverables, but presentations are split (each student presents one half of the talk) so that individual ownership of subtasks can be assessed.</w:t>
            </w:r>
          </w:p>
        </w:tc>
      </w:tr>
      <w:tr w:rsidR="00AE3C4C" w:rsidRPr="00487669" w14:paraId="2401247C" w14:textId="77777777" w:rsidTr="0087471E">
        <w:trPr>
          <w:trHeight w:val="70"/>
        </w:trPr>
        <w:tc>
          <w:tcPr>
            <w:tcW w:w="89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91D2E" w14:textId="77777777" w:rsidR="00AE3C4C" w:rsidRPr="00487669" w:rsidRDefault="00AE3C4C" w:rsidP="00336C3B">
            <w:p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AE3C4C" w:rsidRPr="00F858BF" w14:paraId="17223EC1" w14:textId="77777777" w:rsidTr="0087471E">
        <w:trPr>
          <w:trHeight w:val="245"/>
        </w:trPr>
        <w:tc>
          <w:tcPr>
            <w:tcW w:w="8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17A6B" w14:textId="77777777" w:rsidR="00AE3C4C" w:rsidRPr="00487669" w:rsidRDefault="00AE3C4C" w:rsidP="00AE3C4C">
            <w:pPr>
              <w:numPr>
                <w:ilvl w:val="0"/>
                <w:numId w:val="1"/>
              </w:numPr>
              <w:tabs>
                <w:tab w:val="left" w:pos="0"/>
                <w:tab w:val="left" w:pos="180"/>
                <w:tab w:val="left" w:pos="1080"/>
              </w:tabs>
              <w:adjustRightInd w:val="0"/>
              <w:snapToGrid w:val="0"/>
              <w:ind w:hanging="450"/>
              <w:rPr>
                <w:rFonts w:ascii="Arial" w:hAnsi="Arial" w:cs="Arial"/>
              </w:rPr>
            </w:pPr>
            <w:r w:rsidRPr="00487669">
              <w:rPr>
                <w:rFonts w:ascii="Arial" w:hAnsi="Arial" w:cs="Arial"/>
              </w:rPr>
              <w:t>Required Reading Materials</w:t>
            </w:r>
          </w:p>
        </w:tc>
      </w:tr>
      <w:tr w:rsidR="00AE3C4C" w:rsidRPr="00F858BF" w14:paraId="1EAE7573" w14:textId="77777777" w:rsidTr="0087471E">
        <w:trPr>
          <w:trHeight w:val="245"/>
        </w:trPr>
        <w:tc>
          <w:tcPr>
            <w:tcW w:w="8905" w:type="dxa"/>
            <w:tcBorders>
              <w:top w:val="single" w:sz="4" w:space="0" w:color="auto"/>
            </w:tcBorders>
          </w:tcPr>
          <w:p w14:paraId="17CE2A76" w14:textId="77777777" w:rsidR="001862CB" w:rsidRDefault="00A1448A">
            <w:r>
              <w:t>Core papers (mandatory; to be read in Weeks 1–3):</w:t>
            </w:r>
          </w:p>
          <w:p w14:paraId="5B3FBB1F" w14:textId="77777777" w:rsidR="001862CB" w:rsidRDefault="001862CB"/>
          <w:p w14:paraId="36FA6E54" w14:textId="77777777" w:rsidR="001862CB" w:rsidRDefault="00A1448A">
            <w:r>
              <w:t>1. R. Qi, Z. Shi, H. Zhai, "Maximum Energy Growth Rate in Dilute Quantum Gases," Phys. Rev. Lett. 126, 240401 (2021). [The universal short-time onset law and the half-derivative Volterra structure that underlies the present project.]</w:t>
            </w:r>
          </w:p>
          <w:p w14:paraId="40674CBB" w14:textId="77777777" w:rsidR="001862CB" w:rsidRDefault="001862CB"/>
          <w:p w14:paraId="55F76EF5" w14:textId="77777777" w:rsidR="001862CB" w:rsidRDefault="00A1448A">
            <w:r>
              <w:t>2. C. Chin, R. Grimm, P. S. Julienne, E. Tiesinga, "Feshbach Resonances in Ultracold Gases," Rev. Mod. Phys. 82, 1225 (2010). Sections I, II, and VI (optical Feshbach resonances).</w:t>
            </w:r>
          </w:p>
          <w:p w14:paraId="1068A2B8" w14:textId="77777777" w:rsidR="001862CB" w:rsidRDefault="001862CB"/>
          <w:p w14:paraId="19372E09" w14:textId="77777777" w:rsidR="001862CB" w:rsidRDefault="00A1448A">
            <w:r>
              <w:t>3. J. L. Bohn and P. S. Julienne, "Prospects for influencing scattering lengths with far-off-resonant light," Phys. Rev. A 56, 1486 (1997). [The two-channel optical-Feshbach mapping the project rests on.]</w:t>
            </w:r>
          </w:p>
          <w:p w14:paraId="74EDC3CB" w14:textId="77777777" w:rsidR="001862CB" w:rsidRDefault="001862CB"/>
          <w:p w14:paraId="607D293F" w14:textId="77777777" w:rsidR="001862CB" w:rsidRDefault="00A1448A">
            <w:r>
              <w:lastRenderedPageBreak/>
              <w:t>4. K. Enomoto, K. Kasa, M. Kitagawa, Y. Takahashi, "Optical Feshbach resonance using the intercombination transition," Phys. Rev. Lett. 101, 203201 (2008); and/or S. Blatt et al., "Measurement of optical Feshbach resonances in an ideal gas," Phys. Rev. Lett. 107, 073202 (2011). [Narrow-line OFR experimental realizations.]</w:t>
            </w:r>
          </w:p>
          <w:p w14:paraId="3CA4424F" w14:textId="77777777" w:rsidR="001862CB" w:rsidRDefault="001862CB"/>
          <w:p w14:paraId="0490A42C" w14:textId="77777777" w:rsidR="001862CB" w:rsidRDefault="00A1448A">
            <w:r>
              <w:t>5. S. Tan, "Energetics of a strongly correlated Fermi gas," Ann. Phys. 323, 2952 (2008); "Generalized virial theorem and pressure relation," 323, 2971 (2008); "Large momentum part," 323, 2987 (2008). [Tan's contact relations.]</w:t>
            </w:r>
          </w:p>
          <w:p w14:paraId="3BF6ECCC" w14:textId="77777777" w:rsidR="001862CB" w:rsidRDefault="001862CB"/>
          <w:p w14:paraId="0AE72C86" w14:textId="77777777" w:rsidR="001862CB" w:rsidRDefault="00A1448A">
            <w:r>
              <w:t>6. E. Braaten, L. Platter, "Exact Relations for a Strongly Interacting Fermi Gas from the Operator Product Expansion," Phys. Rev. Lett. 100, 205301 (2008). [The loss-contact relation that turns the contact into a measurable product flux.]</w:t>
            </w:r>
          </w:p>
          <w:p w14:paraId="61A3BF0F" w14:textId="77777777" w:rsidR="001862CB" w:rsidRDefault="001862CB"/>
          <w:p w14:paraId="61E58CFF" w14:textId="77777777" w:rsidR="001862CB" w:rsidRDefault="00A1448A">
            <w:r>
              <w:t>7. A. J. Daley, "Quantum trajectories and open many-body quantum systems," Adv. Phys. 63, 77 (2014). [Lindblad / no-jump sector context for the complex-pseudopotential treatment.]</w:t>
            </w:r>
          </w:p>
          <w:p w14:paraId="3E5EF7B7" w14:textId="77777777" w:rsidR="001862CB" w:rsidRDefault="001862CB"/>
          <w:p w14:paraId="5C520298" w14:textId="77777777" w:rsidR="001862CB" w:rsidRDefault="00A1448A">
            <w:r>
              <w:t>8. N. Khaneja, T. Reiss, C. Kehlet, T. Schulte-Herbrüggen, S. J. Glaser, "Optimal control of coupled spin dynamics: design of NMR pulse sequences by gradient ascent algorithms," J. Magn. Reson. 172, 296 (2005). [The GRAPE gradient-ascent pulse-engineering framework.]</w:t>
            </w:r>
          </w:p>
          <w:p w14:paraId="513A5643" w14:textId="77777777" w:rsidR="001862CB" w:rsidRDefault="001862CB"/>
          <w:p w14:paraId="460C2866" w14:textId="77777777" w:rsidR="001862CB" w:rsidRDefault="00A1448A">
            <w:r>
              <w:t>Supporting / textbook material:</w:t>
            </w:r>
          </w:p>
          <w:p w14:paraId="5B76A5A6" w14:textId="77777777" w:rsidR="001862CB" w:rsidRDefault="00A1448A">
            <w:r>
              <w:t>- C. J. Pethick and H. Smith, Bose–Einstein Condensation in Dilute Gases, 2nd ed. (Cambridge), Chs. 5 and 11 — for s-wave scattering and Feshbach-resonance fundamentals.</w:t>
            </w:r>
          </w:p>
          <w:p w14:paraId="71BDADEA" w14:textId="77777777" w:rsidR="001862CB" w:rsidRDefault="00A1448A">
            <w:r>
              <w:t>- W. Ketterle and M. W. Zwierlein, "Making, probing and understanding ultracold Fermi gases," Riv. Nuovo Cimento 31, 247 (2008) — for experimental context.</w:t>
            </w:r>
          </w:p>
          <w:p w14:paraId="14C5D755" w14:textId="77777777" w:rsidR="001862CB" w:rsidRDefault="00A1448A">
            <w:r>
              <w:t>- JAX documentation (jax.readthedocs.io): jit, grad, vmap, and the jax_enable_x64 precision option.</w:t>
            </w:r>
          </w:p>
          <w:p w14:paraId="04E28BF5" w14:textId="77777777" w:rsidR="001862CB" w:rsidRDefault="001862CB"/>
          <w:p w14:paraId="021FF2B3" w14:textId="77777777" w:rsidR="001862CB" w:rsidRDefault="00A1448A">
            <w:r>
              <w:t>Numerical infrastructure: the supervisor will provide a starter JAX implementation of the Volterra solver and the GRAPE optimization loop together with smoke-test scripts. The students will study, validate, and extend this code as part of Weeks 3–4.</w:t>
            </w:r>
          </w:p>
        </w:tc>
      </w:tr>
    </w:tbl>
    <w:p w14:paraId="25DC8E01" w14:textId="77777777" w:rsidR="006E2CB6" w:rsidRDefault="00AE3C4C">
      <w:r w:rsidRPr="00F858BF">
        <w:rPr>
          <w:rFonts w:ascii="Arial" w:hAnsi="Arial" w:cs="Arial"/>
          <w:b/>
        </w:rPr>
        <w:lastRenderedPageBreak/>
        <w:tab/>
      </w:r>
    </w:p>
    <w:sectPr w:rsidR="006E2CB6" w:rsidSect="003E0C1B">
      <w:footerReference w:type="default" r:id="rId10"/>
      <w:pgSz w:w="11906" w:h="16838" w:code="9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A33BF" w14:textId="77777777" w:rsidR="001C4818" w:rsidRDefault="001C4818" w:rsidP="00F96186">
      <w:r>
        <w:separator/>
      </w:r>
    </w:p>
  </w:endnote>
  <w:endnote w:type="continuationSeparator" w:id="0">
    <w:p w14:paraId="23E281C4" w14:textId="77777777" w:rsidR="001C4818" w:rsidRDefault="001C4818" w:rsidP="00F9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041371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B6A460A" w14:textId="77777777" w:rsidR="0087471E" w:rsidRPr="0087471E" w:rsidRDefault="0087471E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7471E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7471E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C2242">
              <w:rPr>
                <w:rFonts w:ascii="Arial" w:hAnsi="Arial" w:cs="Arial"/>
                <w:noProof/>
                <w:sz w:val="18"/>
                <w:szCs w:val="18"/>
              </w:rPr>
              <w:t>1</w: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87471E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7471E">
              <w:rPr>
                <w:rFonts w:ascii="Arial" w:hAnsi="Arial" w:cs="Arial"/>
                <w:sz w:val="18"/>
                <w:szCs w:val="18"/>
              </w:rPr>
              <w:instrText xml:space="preserve"> NUMPAGES  </w:instrTex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C2242">
              <w:rPr>
                <w:rFonts w:ascii="Arial" w:hAnsi="Arial" w:cs="Arial"/>
                <w:noProof/>
                <w:sz w:val="18"/>
                <w:szCs w:val="18"/>
              </w:rPr>
              <w:t>1</w:t>
            </w:r>
            <w:r w:rsidRPr="0087471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sdtContent>
      </w:sdt>
    </w:sdtContent>
  </w:sdt>
  <w:p w14:paraId="070DA755" w14:textId="77777777" w:rsidR="0087471E" w:rsidRDefault="00874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7D11" w14:textId="77777777" w:rsidR="001C4818" w:rsidRDefault="001C4818" w:rsidP="00F96186">
      <w:r>
        <w:separator/>
      </w:r>
    </w:p>
  </w:footnote>
  <w:footnote w:type="continuationSeparator" w:id="0">
    <w:p w14:paraId="038802C5" w14:textId="77777777" w:rsidR="001C4818" w:rsidRDefault="001C4818" w:rsidP="00F961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76974D22"/>
    <w:multiLevelType w:val="hybridMultilevel"/>
    <w:tmpl w:val="5A20D156"/>
    <w:lvl w:ilvl="0" w:tplc="FEA6C6E2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274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.docx" w:val=".docx"/>
    <w:docVar w:name="Combined_File_Name" w:val="Appendix 1 - Prof. CHOI Chung Hang Jonathan.docx"/>
    <w:docVar w:name="File_Name" w:val="Appendix 1 - Prof. CHOI Chung Hang Jonathan"/>
    <w:docVar w:name="Host_Department" w:val="Department of Biomedical Engineering"/>
    <w:docVar w:name="Host_Supervisor" w:val="Prof. CHOI Chung Hang Jonathan"/>
    <w:docVar w:name="Topic" w:val="Design of Nanoparticles for In Vivo Applications"/>
  </w:docVars>
  <w:rsids>
    <w:rsidRoot w:val="00AE3C4C"/>
    <w:rsid w:val="00016305"/>
    <w:rsid w:val="000F7CBF"/>
    <w:rsid w:val="001862CB"/>
    <w:rsid w:val="001B560E"/>
    <w:rsid w:val="001C4818"/>
    <w:rsid w:val="00203179"/>
    <w:rsid w:val="002138CE"/>
    <w:rsid w:val="00316A89"/>
    <w:rsid w:val="00353F67"/>
    <w:rsid w:val="003E0C1B"/>
    <w:rsid w:val="004748CD"/>
    <w:rsid w:val="004838E1"/>
    <w:rsid w:val="00487669"/>
    <w:rsid w:val="004B31E4"/>
    <w:rsid w:val="006E2CB6"/>
    <w:rsid w:val="0070531E"/>
    <w:rsid w:val="00712288"/>
    <w:rsid w:val="00731F48"/>
    <w:rsid w:val="00732514"/>
    <w:rsid w:val="00735B83"/>
    <w:rsid w:val="007916B3"/>
    <w:rsid w:val="007E7367"/>
    <w:rsid w:val="0087471E"/>
    <w:rsid w:val="008C2242"/>
    <w:rsid w:val="00925EB5"/>
    <w:rsid w:val="00955DFD"/>
    <w:rsid w:val="009961C5"/>
    <w:rsid w:val="00A1448A"/>
    <w:rsid w:val="00A6037A"/>
    <w:rsid w:val="00AE3C4C"/>
    <w:rsid w:val="00B329C8"/>
    <w:rsid w:val="00B939B5"/>
    <w:rsid w:val="00BC773C"/>
    <w:rsid w:val="00BC795C"/>
    <w:rsid w:val="00C422D8"/>
    <w:rsid w:val="00D238F3"/>
    <w:rsid w:val="00D42FB4"/>
    <w:rsid w:val="00D77BB0"/>
    <w:rsid w:val="00DA2401"/>
    <w:rsid w:val="00E1474E"/>
    <w:rsid w:val="00E671A3"/>
    <w:rsid w:val="00EA3184"/>
    <w:rsid w:val="00F039A9"/>
    <w:rsid w:val="00F9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7699A"/>
  <w15:chartTrackingRefBased/>
  <w15:docId w15:val="{C20F224A-B470-422C-A25C-0AA01428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AE3C4C"/>
    <w:pPr>
      <w:tabs>
        <w:tab w:val="left" w:pos="720"/>
      </w:tabs>
    </w:pPr>
    <w:rPr>
      <w:b/>
      <w:sz w:val="24"/>
    </w:rPr>
  </w:style>
  <w:style w:type="character" w:customStyle="1" w:styleId="BodyText2Char">
    <w:name w:val="Body Text 2 Char"/>
    <w:basedOn w:val="DefaultParagraphFont"/>
    <w:link w:val="BodyText2"/>
    <w:rsid w:val="00AE3C4C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styleId="Hyperlink">
    <w:name w:val="Hyperlink"/>
    <w:rsid w:val="00AE3C4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7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73C"/>
    <w:rPr>
      <w:rFonts w:ascii="Segoe UI" w:eastAsia="Times New Roman" w:hAnsi="Segoe UI" w:cs="Segoe UI"/>
      <w:sz w:val="18"/>
      <w:szCs w:val="1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74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71E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74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71E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316A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5B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urp@cuhk.edu.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DC067-1F8C-4051-86E7-9C2DED884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2244</Words>
  <Characters>12794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Leong (OAL)</dc:creator>
  <cp:keywords/>
  <dc:description/>
  <cp:lastModifiedBy>Yangqian Yan (PHY)</cp:lastModifiedBy>
  <cp:revision>5</cp:revision>
  <cp:lastPrinted>2021-05-31T07:15:00Z</cp:lastPrinted>
  <dcterms:created xsi:type="dcterms:W3CDTF">2026-05-28T08:29:00Z</dcterms:created>
  <dcterms:modified xsi:type="dcterms:W3CDTF">2026-06-10T02:26:00Z</dcterms:modified>
</cp:coreProperties>
</file>