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'1.0' encoding='UTF-8'?>
<Relationships xmlns="http://schemas.openxmlformats.org/package/2006/relationships"><Relationship Type="http://schemas.openxmlformats.org/officeDocument/2006/relationships/officeDocument" Target="word/document.xml" Id="Rb8938a9893354533" /></Relationships>
</file>

<file path=word/document.xml><?xml version="1.0" encoding="utf-8"?>
<w:document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p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CoverB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Bg.png"/>
                    <pic:cNvPicPr/>
                  </pic:nvPicPr>
                  <pic:blipFill>
                    <a:blip r:embed="R7a0956454c4f4a56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5200"/>
      </w:pPr>
      <w:r/>
    </w:p>
    <w:p>
      <w:pPr>
        <w:spacing w:after="240"/>
        <w:ind w:left="1100" w:firstLine="0"/>
      </w:pPr>
      <w:r>
        <w:rPr>
          <w:rFonts w:ascii="Calibri" w:hAnsi="Calibri" w:eastAsia="Microsoft YaHei"/>
          <w:color w:val="4DD0E1"/>
          <w:spacing w:val="60"/>
          <w:sz w:val="20"/>
        </w:rPr>
        <w:t>LIFE RUNTIME SPECIFICATION</w:t>
      </w:r>
    </w:p>
    <w:p>
      <w:pPr>
        <w:spacing w:after="280"/>
        <w:ind w:left="1100" w:firstLine="0"/>
      </w:pPr>
      <w:r>
        <w:rPr>
          <w:rFonts w:ascii="Calibri" w:hAnsi="Calibri" w:eastAsia="Microsoft YaHei"/>
          <w:b/>
          <w:color w:val="FFFFFF"/>
          <w:spacing w:val="40"/>
          <w:sz w:val="80"/>
        </w:rPr>
        <w:t>LifeOS 产品规格草案</w:t>
      </w:r>
    </w:p>
    <w:p>
      <w:pPr>
        <w:spacing w:after="480"/>
        <w:ind w:left="1100" w:firstLine="0"/>
      </w:pPr>
      <w:r>
        <w:rPr>
          <w:rFonts w:ascii="Calibri" w:hAnsi="Calibri" w:eastAsia="Microsoft YaHei"/>
          <w:b/>
          <w:color w:val="B2EBF2"/>
          <w:spacing w:val="20"/>
          <w:sz w:val="30"/>
        </w:rPr>
        <w:t>Draft 0.3 · 克制方案版</w:t>
      </w:r>
    </w:p>
    <w:p>
      <w:pPr>
        <w:spacing w:after="3600"/>
        <w:ind w:left="1100" w:firstLine="0"/>
      </w:pPr>
      <w:r>
        <w:rPr>
          <w:rFonts w:ascii="Calibri" w:hAnsi="Calibri" w:eastAsia="Microsoft YaHei"/>
          <w:color w:val="CFD8DC"/>
          <w:spacing w:val="20"/>
          <w:sz w:val="22"/>
        </w:rPr>
        <w:t>长期数字角色与数字生命运行时</w:t>
      </w:r>
    </w:p>
    <w:p>
      <w:pPr>
        <w:ind w:left="1100" w:firstLine="0"/>
      </w:pPr>
      <w:r>
        <w:rPr>
          <w:rFonts w:ascii="Calibri" w:hAnsi="Calibri" w:eastAsia="Microsoft YaHei"/>
          <w:color w:val="90A4AE"/>
          <w:sz w:val="19"/>
        </w:rPr>
        <w:t>版本 Draft 0.3 ｜ 2026-08-04 ｜ 基于 Draft 0.2 评审修订</w:t>
      </w:r>
    </w:p>
    <w:p>
      <w:pPr>
        <w:sectPr>
          <w:type w:val="nextPage"/>
          <w:pgSz w:w="11906" w:h="16838"/>
          <w:pgMar w:top="0" w:right="0" w:bottom="0" w:left="0" w:header="0" w:footer="0"/>
          <w:titlePg/>
        </w:sectPr>
      </w:pPr>
    </w:p>
    <w:p>
      <w:pPr>
        <w:pStyle w:val="Heading1"/>
      </w:pPr>
      <w:r>
        <w:t>目录</w:t>
      </w:r>
    </w:p>
    <w:p>
      <w:pPr>
        <w:spacing w:after="260"/>
        <w:ind w:firstLine="0"/>
      </w:pPr>
      <w:r>
        <w:rPr>
          <w:rFonts w:ascii="Calibri" w:hAnsi="Calibri" w:eastAsia="Microsoft YaHei"/>
          <w:color w:val="90A4AE"/>
          <w:sz w:val="18"/>
        </w:rPr>
        <w:t>打开文档后域会自动刷新；如未刷新，右键目录选择"更新域"</w:t>
      </w:r>
    </w:p>
    <w:p>
      <w:r>
        <w:fldChar w:fldCharType="begin"/>
      </w:r>
      <w:r>
        <w:instrText xml:space="preserve"> TOC \o "1-2" \h \z \u </w:instrText>
      </w:r>
      <w:r>
        <w:fldChar w:fldCharType="separate"/>
      </w:r>
    </w:p>
    <w:p>
      <w:pPr>
        <w:pStyle w:val="TOC1"/>
      </w:pPr>
      <w:r>
        <w:t>0 修订说明（Draft 0.2 → 0.3）</w:t>
      </w:r>
      <w:r>
        <w:tab/>
      </w:r>
      <w:r>
        <w:t>1</w:t>
      </w:r>
    </w:p>
    <w:p>
      <w:pPr>
        <w:pStyle w:val="TOC1"/>
      </w:pPr>
      <w:r>
        <w:t>1 产品定位</w:t>
      </w:r>
      <w:r>
        <w:tab/>
      </w:r>
      <w:r>
        <w:t>1</w:t>
      </w:r>
    </w:p>
    <w:p>
      <w:pPr>
        <w:pStyle w:val="TOC1"/>
      </w:pPr>
      <w:r>
        <w:t>2 产品目标与非目标</w:t>
      </w:r>
      <w:r>
        <w:tab/>
      </w:r>
      <w:r>
        <w:t>1</w:t>
      </w:r>
    </w:p>
    <w:p>
      <w:pPr>
        <w:pStyle w:val="TOC2"/>
      </w:pPr>
      <w:r>
        <w:t>2.1 决策门前主要目标</w:t>
      </w:r>
      <w:r>
        <w:tab/>
      </w:r>
      <w:r>
        <w:t>1</w:t>
      </w:r>
    </w:p>
    <w:p>
      <w:pPr>
        <w:pStyle w:val="TOC2"/>
      </w:pPr>
      <w:r>
        <w:t>2.2 非目标</w:t>
      </w:r>
      <w:r>
        <w:tab/>
      </w:r>
      <w:r>
        <w:t>1</w:t>
      </w:r>
    </w:p>
    <w:p>
      <w:pPr>
        <w:pStyle w:val="TOC2"/>
      </w:pPr>
      <w:r>
        <w:t>2.3 决策门后目标（指引）</w:t>
      </w:r>
      <w:r>
        <w:tab/>
      </w:r>
      <w:r>
        <w:t>1</w:t>
      </w:r>
    </w:p>
    <w:p>
      <w:pPr>
        <w:pStyle w:val="TOC1"/>
      </w:pPr>
      <w:r>
        <w:t>3 核心假设与可证伪定义</w:t>
      </w:r>
      <w:r>
        <w:tab/>
      </w:r>
      <w:r>
        <w:t>1</w:t>
      </w:r>
    </w:p>
    <w:p>
      <w:pPr>
        <w:pStyle w:val="TOC2"/>
      </w:pPr>
      <w:r>
        <w:t>3.1 核心假设</w:t>
      </w:r>
      <w:r>
        <w:tab/>
      </w:r>
      <w:r>
        <w:t>1</w:t>
      </w:r>
    </w:p>
    <w:p>
      <w:pPr>
        <w:pStyle w:val="TOC2"/>
      </w:pPr>
      <w:r>
        <w:t>3.2 连续性指标体系</w:t>
      </w:r>
      <w:r>
        <w:tab/>
      </w:r>
      <w:r>
        <w:t>1</w:t>
      </w:r>
    </w:p>
    <w:p>
      <w:pPr>
        <w:pStyle w:val="TOC2"/>
      </w:pPr>
      <w:r>
        <w:t>3.3 阈值治理</w:t>
      </w:r>
      <w:r>
        <w:tab/>
      </w:r>
      <w:r>
        <w:t>1</w:t>
      </w:r>
    </w:p>
    <w:p>
      <w:pPr>
        <w:pStyle w:val="TOC2"/>
      </w:pPr>
      <w:r>
        <w:t>3.4 Eval Harness v0</w:t>
      </w:r>
      <w:r>
        <w:tab/>
      </w:r>
      <w:r>
        <w:t>1</w:t>
      </w:r>
    </w:p>
    <w:p>
      <w:pPr>
        <w:pStyle w:val="TOC1"/>
      </w:pPr>
      <w:r>
        <w:t>4 产品架构（克制范围）</w:t>
      </w:r>
      <w:r>
        <w:tab/>
      </w:r>
      <w:r>
        <w:t>1</w:t>
      </w:r>
    </w:p>
    <w:p>
      <w:pPr>
        <w:pStyle w:val="TOC2"/>
      </w:pPr>
      <w:r>
        <w:t>4.1 分层架构</w:t>
      </w:r>
      <w:r>
        <w:tab/>
      </w:r>
      <w:r>
        <w:t>1</w:t>
      </w:r>
    </w:p>
    <w:p>
      <w:pPr>
        <w:pStyle w:val="TOC2"/>
      </w:pPr>
      <w:r>
        <w:t>4.2 核心调用链</w:t>
      </w:r>
      <w:r>
        <w:tab/>
      </w:r>
      <w:r>
        <w:t>1</w:t>
      </w:r>
    </w:p>
    <w:p>
      <w:pPr>
        <w:pStyle w:val="TOC2"/>
      </w:pPr>
      <w:r>
        <w:t>4.3 LLM 边界</w:t>
      </w:r>
      <w:r>
        <w:tab/>
      </w:r>
      <w:r>
        <w:t>1</w:t>
      </w:r>
    </w:p>
    <w:p>
      <w:pPr>
        <w:pStyle w:val="TOC2"/>
      </w:pPr>
      <w:r>
        <w:t>4.4 语言与部署形态</w:t>
      </w:r>
      <w:r>
        <w:tab/>
      </w:r>
      <w:r>
        <w:t>1</w:t>
      </w:r>
    </w:p>
    <w:p>
      <w:pPr>
        <w:pStyle w:val="TOC1"/>
      </w:pPr>
      <w:r>
        <w:t>5 许可证与开源选型政策</w:t>
      </w:r>
      <w:r>
        <w:tab/>
      </w:r>
      <w:r>
        <w:t>1</w:t>
      </w:r>
    </w:p>
    <w:p>
      <w:pPr>
        <w:pStyle w:val="TOC2"/>
      </w:pPr>
      <w:r>
        <w:t>5.1 默认允许的许可证</w:t>
      </w:r>
      <w:r>
        <w:tab/>
      </w:r>
      <w:r>
        <w:t>1</w:t>
      </w:r>
    </w:p>
    <w:p>
      <w:pPr>
        <w:pStyle w:val="TOC2"/>
      </w:pPr>
      <w:r>
        <w:t>5.2 默认排除的许可证</w:t>
      </w:r>
      <w:r>
        <w:tab/>
      </w:r>
      <w:r>
        <w:t>1</w:t>
      </w:r>
    </w:p>
    <w:p>
      <w:pPr>
        <w:pStyle w:val="TOC2"/>
      </w:pPr>
      <w:r>
        <w:t>5.3 决策门前技术栈</w:t>
      </w:r>
      <w:r>
        <w:tab/>
      </w:r>
      <w:r>
        <w:t>1</w:t>
      </w:r>
    </w:p>
    <w:p>
      <w:pPr>
        <w:pStyle w:val="TOC2"/>
      </w:pPr>
      <w:r>
        <w:t>5.4 依赖治理</w:t>
      </w:r>
      <w:r>
        <w:tab/>
      </w:r>
      <w:r>
        <w:t>1</w:t>
      </w:r>
    </w:p>
    <w:p>
      <w:pPr>
        <w:pStyle w:val="TOC2"/>
      </w:pPr>
      <w:r>
        <w:t>5.5 相对 Draft 0.2 的修正</w:t>
      </w:r>
      <w:r>
        <w:tab/>
      </w:r>
      <w:r>
        <w:t>1</w:t>
      </w:r>
    </w:p>
    <w:p>
      <w:pPr>
        <w:pStyle w:val="TOC1"/>
      </w:pPr>
      <w:r>
        <w:t>6 核心模块 v0 规格</w:t>
      </w:r>
      <w:r>
        <w:tab/>
      </w:r>
      <w:r>
        <w:t>1</w:t>
      </w:r>
    </w:p>
    <w:p>
      <w:pPr>
        <w:pStyle w:val="TOC2"/>
      </w:pPr>
      <w:r>
        <w:t>6.1 Life Kernel v0（SP-02）</w:t>
      </w:r>
      <w:r>
        <w:tab/>
      </w:r>
      <w:r>
        <w:t>1</w:t>
      </w:r>
    </w:p>
    <w:p>
      <w:pPr>
        <w:pStyle w:val="TOC2"/>
      </w:pPr>
      <w:r>
        <w:t>6.2 Memory OS v0（SP-03）</w:t>
      </w:r>
      <w:r>
        <w:tab/>
      </w:r>
      <w:r>
        <w:t>1</w:t>
      </w:r>
    </w:p>
    <w:p>
      <w:pPr>
        <w:pStyle w:val="TOC2"/>
      </w:pPr>
      <w:r>
        <w:t>6.3 Relationship Engine v0（SP-04）</w:t>
      </w:r>
      <w:r>
        <w:tab/>
      </w:r>
      <w:r>
        <w:t>1</w:t>
      </w:r>
    </w:p>
    <w:p>
      <w:pPr>
        <w:pStyle w:val="TOC2"/>
      </w:pPr>
      <w:r>
        <w:t>6.4 Behavior Planner v0（SP-05）</w:t>
      </w:r>
      <w:r>
        <w:tab/>
      </w:r>
      <w:r>
        <w:t>1</w:t>
      </w:r>
    </w:p>
    <w:p>
      <w:pPr>
        <w:pStyle w:val="TOC2"/>
      </w:pPr>
      <w:r>
        <w:t>6.5 Policy Engine v0（SP-09）</w:t>
      </w:r>
      <w:r>
        <w:tab/>
      </w:r>
      <w:r>
        <w:t>1</w:t>
      </w:r>
    </w:p>
    <w:p>
      <w:pPr>
        <w:pStyle w:val="TOC2"/>
      </w:pPr>
      <w:r>
        <w:t>6.6 Model Gateway（SP-06）</w:t>
      </w:r>
      <w:r>
        <w:tab/>
      </w:r>
      <w:r>
        <w:t>1</w:t>
      </w:r>
    </w:p>
    <w:p>
      <w:pPr>
        <w:pStyle w:val="TOC2"/>
      </w:pPr>
      <w:r>
        <w:t>6.7 Life Studio v0（SP-07）</w:t>
      </w:r>
      <w:r>
        <w:tab/>
      </w:r>
      <w:r>
        <w:t>1</w:t>
      </w:r>
    </w:p>
    <w:p>
      <w:pPr>
        <w:pStyle w:val="TOC2"/>
      </w:pPr>
      <w:r>
        <w:t>6.8 Eval Harness v0（SP-08）</w:t>
      </w:r>
      <w:r>
        <w:tab/>
      </w:r>
      <w:r>
        <w:t>1</w:t>
      </w:r>
    </w:p>
    <w:p>
      <w:pPr>
        <w:pStyle w:val="TOC1"/>
      </w:pPr>
      <w:r>
        <w:t>7 数据策略</w:t>
      </w:r>
      <w:r>
        <w:tab/>
      </w:r>
      <w:r>
        <w:t>1</w:t>
      </w:r>
    </w:p>
    <w:p>
      <w:pPr>
        <w:pStyle w:val="TOC2"/>
      </w:pPr>
      <w:r>
        <w:t>7.1 双轨数据获取</w:t>
      </w:r>
      <w:r>
        <w:tab/>
      </w:r>
      <w:r>
        <w:t>1</w:t>
      </w:r>
    </w:p>
    <w:p>
      <w:pPr>
        <w:pStyle w:val="TOC2"/>
      </w:pPr>
      <w:r>
        <w:t>7.2 记忆抽取 Gold Set</w:t>
      </w:r>
      <w:r>
        <w:tab/>
      </w:r>
      <w:r>
        <w:t>1</w:t>
      </w:r>
    </w:p>
    <w:p>
      <w:pPr>
        <w:pStyle w:val="TOC2"/>
      </w:pPr>
      <w:r>
        <w:t>7.3 数据治理与隐私</w:t>
      </w:r>
      <w:r>
        <w:tab/>
      </w:r>
      <w:r>
        <w:t>1</w:t>
      </w:r>
    </w:p>
    <w:p>
      <w:pPr>
        <w:pStyle w:val="TOC1"/>
      </w:pPr>
      <w:r>
        <w:t>8 安全与伦理策略 v0</w:t>
      </w:r>
      <w:r>
        <w:tab/>
      </w:r>
      <w:r>
        <w:t>1</w:t>
      </w:r>
    </w:p>
    <w:p>
      <w:pPr>
        <w:pStyle w:val="TOC2"/>
      </w:pPr>
      <w:r>
        <w:t>8.1 红线策略十条</w:t>
      </w:r>
      <w:r>
        <w:tab/>
      </w:r>
      <w:r>
        <w:t>1</w:t>
      </w:r>
    </w:p>
    <w:p>
      <w:pPr>
        <w:pStyle w:val="TOC2"/>
      </w:pPr>
      <w:r>
        <w:t>8.2 决策留痕与审计</w:t>
      </w:r>
      <w:r>
        <w:tab/>
      </w:r>
      <w:r>
        <w:t>1</w:t>
      </w:r>
    </w:p>
    <w:p>
      <w:pPr>
        <w:pStyle w:val="TOC2"/>
      </w:pPr>
      <w:r>
        <w:t>8.3 儿童与脆弱用户</w:t>
      </w:r>
      <w:r>
        <w:tab/>
      </w:r>
      <w:r>
        <w:t>1</w:t>
      </w:r>
    </w:p>
    <w:p>
      <w:pPr>
        <w:pStyle w:val="TOC2"/>
      </w:pPr>
      <w:r>
        <w:t>8.4 决策门后研究项</w:t>
      </w:r>
      <w:r>
        <w:tab/>
      </w:r>
      <w:r>
        <w:t>1</w:t>
      </w:r>
    </w:p>
    <w:p>
      <w:pPr>
        <w:pStyle w:val="TOC1"/>
      </w:pPr>
      <w:r>
        <w:t>9 推理成本模型</w:t>
      </w:r>
      <w:r>
        <w:tab/>
      </w:r>
      <w:r>
        <w:t>1</w:t>
      </w:r>
    </w:p>
    <w:p>
      <w:pPr>
        <w:pStyle w:val="TOC2"/>
      </w:pPr>
      <w:r>
        <w:t>9.1 成本驱动项</w:t>
      </w:r>
      <w:r>
        <w:tab/>
      </w:r>
      <w:r>
        <w:t>1</w:t>
      </w:r>
    </w:p>
    <w:p>
      <w:pPr>
        <w:pStyle w:val="TOC2"/>
      </w:pPr>
      <w:r>
        <w:t>9.2 分层用模策略</w:t>
      </w:r>
      <w:r>
        <w:tab/>
      </w:r>
      <w:r>
        <w:t>1</w:t>
      </w:r>
    </w:p>
    <w:p>
      <w:pPr>
        <w:pStyle w:val="TOC2"/>
      </w:pPr>
      <w:r>
        <w:t>9.3 成本计量与上限</w:t>
      </w:r>
      <w:r>
        <w:tab/>
      </w:r>
      <w:r>
        <w:t>1</w:t>
      </w:r>
    </w:p>
    <w:p>
      <w:pPr>
        <w:pStyle w:val="TOC2"/>
      </w:pPr>
      <w:r>
        <w:t>9.4 决策门成本评审</w:t>
      </w:r>
      <w:r>
        <w:tab/>
      </w:r>
      <w:r>
        <w:t>1</w:t>
      </w:r>
    </w:p>
    <w:p>
      <w:pPr>
        <w:pStyle w:val="TOC1"/>
      </w:pPr>
      <w:r>
        <w:t>10 实施计划与 Metrics 大表</w:t>
      </w:r>
      <w:r>
        <w:tab/>
      </w:r>
      <w:r>
        <w:t>1</w:t>
      </w:r>
    </w:p>
    <w:p>
      <w:pPr>
        <w:pStyle w:val="TOC2"/>
      </w:pPr>
      <w:r>
        <w:t>10.1 阶段划分</w:t>
      </w:r>
      <w:r>
        <w:tab/>
      </w:r>
      <w:r>
        <w:t>1</w:t>
      </w:r>
    </w:p>
    <w:p>
      <w:pPr>
        <w:pStyle w:val="TOC2"/>
      </w:pPr>
      <w:r>
        <w:t>10.2 Metrics 大表（SP-01～SP-10）</w:t>
      </w:r>
      <w:r>
        <w:tab/>
      </w:r>
      <w:r>
        <w:t>1</w:t>
      </w:r>
    </w:p>
    <w:p>
      <w:pPr>
        <w:pStyle w:val="TOC2"/>
      </w:pPr>
      <w:r>
        <w:t>10.3 估算假设与误差声明</w:t>
      </w:r>
      <w:r>
        <w:tab/>
      </w:r>
      <w:r>
        <w:t>1</w:t>
      </w:r>
    </w:p>
    <w:p>
      <w:pPr>
        <w:pStyle w:val="TOC2"/>
      </w:pPr>
      <w:r>
        <w:t>10.4 人力结构与到位节奏</w:t>
      </w:r>
      <w:r>
        <w:tab/>
      </w:r>
      <w:r>
        <w:t>1</w:t>
      </w:r>
    </w:p>
    <w:p>
      <w:pPr>
        <w:pStyle w:val="TOC2"/>
      </w:pPr>
      <w:r>
        <w:t>10.5 分支汇总</w:t>
      </w:r>
      <w:r>
        <w:tab/>
      </w:r>
      <w:r>
        <w:t>1</w:t>
      </w:r>
    </w:p>
    <w:p>
      <w:pPr>
        <w:pStyle w:val="TOC1"/>
      </w:pPr>
      <w:r>
        <w:t>11 开源策略与社区治理</w:t>
      </w:r>
      <w:r>
        <w:tab/>
      </w:r>
      <w:r>
        <w:t>1</w:t>
      </w:r>
    </w:p>
    <w:p>
      <w:pPr>
        <w:pStyle w:val="TOC2"/>
      </w:pPr>
      <w:r>
        <w:t>11.1 项目自身许可证</w:t>
      </w:r>
      <w:r>
        <w:tab/>
      </w:r>
      <w:r>
        <w:t>1</w:t>
      </w:r>
    </w:p>
    <w:p>
      <w:pPr>
        <w:pStyle w:val="TOC2"/>
      </w:pPr>
      <w:r>
        <w:t>11.2 贡献治理</w:t>
      </w:r>
      <w:r>
        <w:tab/>
      </w:r>
      <w:r>
        <w:t>1</w:t>
      </w:r>
    </w:p>
    <w:p>
      <w:pPr>
        <w:pStyle w:val="TOC2"/>
      </w:pPr>
      <w:r>
        <w:t>11.3 商标与命名</w:t>
      </w:r>
      <w:r>
        <w:tab/>
      </w:r>
      <w:r>
        <w:t>1</w:t>
      </w:r>
    </w:p>
    <w:p>
      <w:pPr>
        <w:pStyle w:val="TOC2"/>
      </w:pPr>
      <w:r>
        <w:t>11.4 开源与商业边界</w:t>
      </w:r>
      <w:r>
        <w:tab/>
      </w:r>
      <w:r>
        <w:t>1</w:t>
      </w:r>
    </w:p>
    <w:p>
      <w:pPr>
        <w:pStyle w:val="TOC2"/>
      </w:pPr>
      <w:r>
        <w:t>11.5 仓库结构（收敛版）</w:t>
      </w:r>
      <w:r>
        <w:tab/>
      </w:r>
      <w:r>
        <w:t>1</w:t>
      </w:r>
    </w:p>
    <w:p>
      <w:pPr>
        <w:pStyle w:val="TOC1"/>
      </w:pPr>
      <w:r>
        <w:t>12 项目决策原则</w:t>
      </w:r>
      <w:r>
        <w:tab/>
      </w:r>
      <w:r>
        <w:t>1</w:t>
      </w:r>
    </w:p>
    <w:p>
      <w:pPr>
        <w:pStyle w:val="TOC1"/>
      </w:pPr>
      <w:r>
        <w:t>13 自研知识产权重点</w:t>
      </w:r>
      <w:r>
        <w:tab/>
      </w:r>
      <w:r>
        <w:t>1</w:t>
      </w:r>
    </w:p>
    <w:p>
      <w:pPr>
        <w:pStyle w:val="TOC1"/>
      </w:pPr>
      <w:r>
        <w:t>附录 A Go/No-Go 决策门评审细则</w:t>
      </w:r>
      <w:r>
        <w:tab/>
      </w:r>
      <w:r>
        <w:t>1</w:t>
      </w:r>
    </w:p>
    <w:p>
      <w:pPr>
        <w:pStyle w:val="TOC1"/>
      </w:pPr>
      <w:r>
        <w:t>附录 B 决策门后路线图（SP-11～SP-19）</w:t>
      </w:r>
      <w:r>
        <w:tab/>
      </w:r>
      <w:r>
        <w:t>1</w:t>
      </w:r>
    </w:p>
    <w:p>
      <w:pPr>
        <w:pStyle w:val="TOC1"/>
      </w:pPr>
      <w:r>
        <w:t>附录 C Draft 0.2 移除与延后清单</w:t>
      </w:r>
      <w:r>
        <w:tab/>
      </w:r>
      <w:r>
        <w:t>1</w:t>
      </w:r>
    </w:p>
    <w:p>
      <w:r>
        <w:fldChar w:fldCharType="end"/>
      </w:r>
    </w:p>
    <w:p>
      <w:pPr>
        <w:sectPr>
          <w:type w:val="nextPage"/>
          <w:pgSz w:w="11906" w:h="16838"/>
          <w:pgMar w:top="1800" w:right="1440" w:bottom="1440" w:left="1440" w:header="720" w:footer="720"/>
        </w:sectPr>
      </w:pPr>
    </w:p>
    <w:p>
      <w:pPr>
        <w:pStyle w:val="Heading1"/>
      </w:pPr>
      <w:r>
        <w:t>0 修订说明（Draft 0.2 → 0.3）</w:t>
      </w:r>
    </w:p>
    <w:p>
      <w:r>
        <w:t>本版依据对 Draft 0.2 的评审结论修订，采用克制方案：把无条件执行的四阶段计划，改为「决策门之前的最小验证范围 ＋ 硬性 Go/No-Go 评审 ＋ 决策门后按触发条件启动的子项目池」。Draft 0.2 的架构设计、许可证政策、数据哲学与模块边界整体保留并继续有效，本章仅列出发生变化的决策及其依据。</w:t>
      </w:r>
    </w:p>
    <w:tbl>
      <w:tblPr>
        <w:tblW w:w="5000" w:type="pct"/>
        <w:tblBorders>
          <w:top w:val="single" w:color="37474F" w:sz="12"/>
          <w:left w:val="nil"/>
          <w:bottom w:val="single" w:color="37474F" w:sz="12"/>
          <w:right w:val="nil"/>
          <w:insideH w:val="single" w:color="CFD8DC" w:sz="4"/>
          <w:insideV w:val="nil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700"/>
        <w:gridCol w:w="2400"/>
        <w:gridCol w:w="3200"/>
        <w:gridCol w:w="1700"/>
      </w:tblGrid>
      <w:tr>
        <w:trPr>
          <w:tblHeader/>
        </w:trPr>
        <w:tc>
          <w:tcPr>
            <w:tcW w:w="1700" w:type="dxa"/>
            <w:shd w:val="clear" w:fill="ECEFF1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b/>
                <w:color w:val="263238"/>
                <w:sz w:val="18"/>
              </w:rPr>
              <w:t>变更项</w:t>
            </w:r>
          </w:p>
        </w:tc>
        <w:tc>
          <w:tcPr>
            <w:tcW w:w="2400" w:type="dxa"/>
            <w:shd w:val="clear" w:fill="ECEFF1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b/>
                <w:color w:val="263238"/>
                <w:sz w:val="18"/>
              </w:rPr>
              <w:t>Draft 0.2</w:t>
            </w:r>
          </w:p>
        </w:tc>
        <w:tc>
          <w:tcPr>
            <w:tcW w:w="3200" w:type="dxa"/>
            <w:shd w:val="clear" w:fill="ECEFF1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b/>
                <w:color w:val="263238"/>
                <w:sz w:val="18"/>
              </w:rPr>
              <w:t>Draft 0.3</w:t>
            </w:r>
          </w:p>
        </w:tc>
        <w:tc>
          <w:tcPr>
            <w:tcW w:w="1700" w:type="dxa"/>
            <w:shd w:val="clear" w:fill="ECEFF1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b/>
                <w:color w:val="263238"/>
                <w:sz w:val="18"/>
              </w:rPr>
              <w:t>评审依据</w:t>
            </w:r>
          </w:p>
        </w:tc>
      </w:tr>
      <w:tr>
        <w:tc>
          <w:tcPr>
            <w:tcW w:w="17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范围</w:t>
            </w:r>
          </w:p>
        </w:tc>
        <w:tc>
          <w:tcPr>
            <w:tcW w:w="24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Phase 1–4 全量规划</w:t>
            </w:r>
          </w:p>
        </w:tc>
        <w:tc>
          <w:tcPr>
            <w:tcW w:w="32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收敛至 SP-01～SP-10 ＋ Go/No-Go 决策门</w:t>
            </w:r>
          </w:p>
        </w:tc>
        <w:tc>
          <w:tcPr>
            <w:tcW w:w="17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P2</w:t>
            </w:r>
          </w:p>
        </w:tc>
      </w:tr>
      <w:tr>
        <w:tc>
          <w:tcPr>
            <w:tcW w:w="17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评价体系</w:t>
            </w:r>
          </w:p>
        </w:tc>
        <w:tc>
          <w:tcPr>
            <w:tcW w:w="24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Phase 4 难点六</w:t>
            </w:r>
          </w:p>
        </w:tc>
        <w:tc>
          <w:tcPr>
            <w:tcW w:w="32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前置为第 3 章与 SP-08，A1 阶段交付</w:t>
            </w:r>
          </w:p>
        </w:tc>
        <w:tc>
          <w:tcPr>
            <w:tcW w:w="17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P1</w:t>
            </w:r>
          </w:p>
        </w:tc>
      </w:tr>
      <w:tr>
        <w:tc>
          <w:tcPr>
            <w:tcW w:w="17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安全伦理</w:t>
            </w:r>
          </w:p>
        </w:tc>
        <w:tc>
          <w:tcPr>
            <w:tcW w:w="24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Phase 4 难点七</w:t>
            </w:r>
          </w:p>
        </w:tc>
        <w:tc>
          <w:tcPr>
            <w:tcW w:w="32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前置为第 8 章与 SP-09，Demo 前置验收</w:t>
            </w:r>
          </w:p>
        </w:tc>
        <w:tc>
          <w:tcPr>
            <w:tcW w:w="17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P3</w:t>
            </w:r>
          </w:p>
        </w:tc>
      </w:tr>
      <w:tr>
        <w:tc>
          <w:tcPr>
            <w:tcW w:w="17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数据策略</w:t>
            </w:r>
          </w:p>
        </w:tc>
        <w:tc>
          <w:tcPr>
            <w:tcW w:w="24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缺失</w:t>
            </w:r>
          </w:p>
        </w:tc>
        <w:tc>
          <w:tcPr>
            <w:tcW w:w="32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新增第 7 章</w:t>
            </w:r>
          </w:p>
        </w:tc>
        <w:tc>
          <w:tcPr>
            <w:tcW w:w="17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P4</w:t>
            </w:r>
          </w:p>
        </w:tc>
      </w:tr>
      <w:tr>
        <w:tc>
          <w:tcPr>
            <w:tcW w:w="17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成本模型</w:t>
            </w:r>
          </w:p>
        </w:tc>
        <w:tc>
          <w:tcPr>
            <w:tcW w:w="24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缺失</w:t>
            </w:r>
          </w:p>
        </w:tc>
        <w:tc>
          <w:tcPr>
            <w:tcW w:w="32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新增第 9 章</w:t>
            </w:r>
          </w:p>
        </w:tc>
        <w:tc>
          <w:tcPr>
            <w:tcW w:w="17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P5</w:t>
            </w:r>
          </w:p>
        </w:tc>
      </w:tr>
      <w:tr>
        <w:tc>
          <w:tcPr>
            <w:tcW w:w="17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开源策略</w:t>
            </w:r>
          </w:p>
        </w:tc>
        <w:tc>
          <w:tcPr>
            <w:tcW w:w="24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仅有第三方组件政策</w:t>
            </w:r>
          </w:p>
        </w:tc>
        <w:tc>
          <w:tcPr>
            <w:tcW w:w="32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新增第 11 章（自身许可证与社区治理）</w:t>
            </w:r>
          </w:p>
        </w:tc>
        <w:tc>
          <w:tcPr>
            <w:tcW w:w="17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P7</w:t>
            </w:r>
          </w:p>
        </w:tc>
      </w:tr>
      <w:tr>
        <w:tc>
          <w:tcPr>
            <w:tcW w:w="17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时间人力</w:t>
            </w:r>
          </w:p>
        </w:tc>
        <w:tc>
          <w:tcPr>
            <w:tcW w:w="24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仅角色清单</w:t>
            </w:r>
          </w:p>
        </w:tc>
        <w:tc>
          <w:tcPr>
            <w:tcW w:w="32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第 10 章 Metrics 大表</w:t>
            </w:r>
          </w:p>
        </w:tc>
        <w:tc>
          <w:tcPr>
            <w:tcW w:w="17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P10</w:t>
            </w:r>
          </w:p>
        </w:tc>
      </w:tr>
      <w:tr>
        <w:tc>
          <w:tcPr>
            <w:tcW w:w="17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Hypothesis</w:t>
            </w:r>
          </w:p>
        </w:tc>
        <w:tc>
          <w:tcPr>
            <w:tcW w:w="24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未标注许可证</w:t>
            </w:r>
          </w:p>
        </w:tc>
        <w:tc>
          <w:tcPr>
            <w:tcW w:w="32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注明 MPL-2.0，仅限测试用途豁免</w:t>
            </w:r>
          </w:p>
        </w:tc>
        <w:tc>
          <w:tcPr>
            <w:tcW w:w="17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P7</w:t>
            </w:r>
          </w:p>
        </w:tc>
      </w:tr>
      <w:tr>
        <w:tc>
          <w:tcPr>
            <w:tcW w:w="17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工作流引擎</w:t>
            </w:r>
          </w:p>
        </w:tc>
        <w:tc>
          <w:tcPr>
            <w:tcW w:w="24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Phase 1 Celery，Phase 2 迁 Temporal</w:t>
            </w:r>
          </w:p>
        </w:tc>
        <w:tc>
          <w:tcPr>
            <w:tcW w:w="32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A1 直接使用 Temporal，取消计划内返工</w:t>
            </w:r>
          </w:p>
        </w:tc>
        <w:tc>
          <w:tcPr>
            <w:tcW w:w="17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P6</w:t>
            </w:r>
          </w:p>
        </w:tc>
      </w:tr>
      <w:tr>
        <w:tc>
          <w:tcPr>
            <w:tcW w:w="17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Phase 3/4</w:t>
            </w:r>
          </w:p>
        </w:tc>
        <w:tc>
          <w:tcPr>
            <w:tcW w:w="24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无条件计划</w:t>
            </w:r>
          </w:p>
        </w:tc>
        <w:tc>
          <w:tcPr>
            <w:tcW w:w="32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移入附录 B，按触发条件逐项评审启动</w:t>
            </w:r>
          </w:p>
        </w:tc>
        <w:tc>
          <w:tcPr>
            <w:tcW w:w="17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P8</w:t>
            </w:r>
          </w:p>
        </w:tc>
      </w:tr>
      <w:tr>
        <w:tc>
          <w:tcPr>
            <w:tcW w:w="17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人格一致性</w:t>
            </w:r>
          </w:p>
        </w:tc>
        <w:tc>
          <w:tcPr>
            <w:tcW w:w="24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「达到阈值」，无定义</w:t>
            </w:r>
          </w:p>
        </w:tc>
        <w:tc>
          <w:tcPr>
            <w:tcW w:w="32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第 3.2 节冻结指标定义与暂定阈值</w:t>
            </w:r>
          </w:p>
        </w:tc>
        <w:tc>
          <w:tcPr>
            <w:tcW w:w="17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P1</w:t>
            </w:r>
          </w:p>
        </w:tc>
      </w:tr>
    </w:tbl>
    <w:p>
      <w:pPr>
        <w:pStyle w:val="Caption"/>
      </w:pPr>
      <w:r>
        <w:t>表 0-1：Draft 0.2 → 0.3 修订对照（P 编号对应评审报告问题清单）</w:t>
      </w:r>
    </w:p>
    <w:p>
      <w:pPr>
        <w:pStyle w:val="Heading1"/>
      </w:pPr>
      <w:r>
        <w:t>1 产品定位</w:t>
      </w:r>
    </w:p>
    <w:p>
      <w:r>
        <w:t>LifeOS 是一套用于维护长期 AI 角色连续性的运行时平台。它不只是聊天系统，也不只是 Agent Framework。它负责让同一个 AI 角色在以下变化发生后仍然保持身份连续：对话中断并重新开始；用户长期离开后再次回来；底层大模型被替换；云端和端侧模型切换；软件版本升级；设备损坏并更换新设备；角色从 App 迁移到实体机器人；记忆数量增长到数年甚至十年以上。</w:t>
      </w:r>
    </w:p>
    <w:p>
      <w:r>
        <w:t>LifeOS 的基础管理对象是：</w:t>
      </w:r>
    </w:p>
    <w:p>
      <w:pPr>
        <w:shd w:val="clear" w:fill="EFF3F5"/>
        <w:spacing w:before="120" w:after="0" w:line="280" w:lineRule="auto"/>
        <w:ind w:left="240" w:firstLine="0"/>
      </w:pPr>
      <w:r>
        <w:rPr>
          <w:rFonts w:ascii="Consolas" w:hAnsi="Consolas" w:eastAsia="Microsoft YaHei"/>
          <w:color w:val="263238"/>
          <w:sz w:val="19"/>
        </w:rPr>
        <w:t xml:space="preserve">Life Instance</w:t>
      </w:r>
    </w:p>
    <w:p>
      <w:pPr>
        <w:shd w:val="clear" w:fill="EFF3F5"/>
        <w:spacing w:before="0" w:after="0" w:line="280" w:lineRule="auto"/>
        <w:ind w:left="240" w:firstLine="0"/>
      </w:pPr>
      <w:r>
        <w:rPr>
          <w:rFonts w:ascii="Consolas" w:hAnsi="Consolas" w:eastAsia="Microsoft YaHei"/>
          <w:color w:val="263238"/>
          <w:sz w:val="19"/>
        </w:rPr>
        <w:t xml:space="preserve">=</w:t>
      </w:r>
    </w:p>
    <w:p>
      <w:pPr>
        <w:shd w:val="clear" w:fill="EFF3F5"/>
        <w:spacing w:before="0" w:after="0" w:line="280" w:lineRule="auto"/>
        <w:ind w:left="240" w:firstLine="0"/>
      </w:pPr>
      <w:r>
        <w:rPr>
          <w:rFonts w:ascii="Consolas" w:hAnsi="Consolas" w:eastAsia="Microsoft YaHei"/>
          <w:color w:val="263238"/>
          <w:sz w:val="19"/>
        </w:rPr>
        <w:t xml:space="preserve">Identity</w:t>
      </w:r>
    </w:p>
    <w:p>
      <w:pPr>
        <w:shd w:val="clear" w:fill="EFF3F5"/>
        <w:spacing w:before="0" w:after="0" w:line="280" w:lineRule="auto"/>
        <w:ind w:left="240" w:firstLine="0"/>
      </w:pPr>
      <w:r>
        <w:rPr>
          <w:rFonts w:ascii="Consolas" w:hAnsi="Consolas" w:eastAsia="Microsoft YaHei"/>
          <w:color w:val="263238"/>
          <w:sz w:val="19"/>
        </w:rPr>
        <w:t xml:space="preserve">+ Life State</w:t>
      </w:r>
    </w:p>
    <w:p>
      <w:pPr>
        <w:shd w:val="clear" w:fill="EFF3F5"/>
        <w:spacing w:before="0" w:after="0" w:line="280" w:lineRule="auto"/>
        <w:ind w:left="240" w:firstLine="0"/>
      </w:pPr>
      <w:r>
        <w:rPr>
          <w:rFonts w:ascii="Consolas" w:hAnsi="Consolas" w:eastAsia="Microsoft YaHei"/>
          <w:color w:val="263238"/>
          <w:sz w:val="19"/>
        </w:rPr>
        <w:t xml:space="preserve">+ Memory</w:t>
      </w:r>
    </w:p>
    <w:p>
      <w:pPr>
        <w:shd w:val="clear" w:fill="EFF3F5"/>
        <w:spacing w:before="0" w:after="0" w:line="280" w:lineRule="auto"/>
        <w:ind w:left="240" w:firstLine="0"/>
      </w:pPr>
      <w:r>
        <w:rPr>
          <w:rFonts w:ascii="Consolas" w:hAnsi="Consolas" w:eastAsia="Microsoft YaHei"/>
          <w:color w:val="263238"/>
          <w:sz w:val="19"/>
        </w:rPr>
        <w:t xml:space="preserve">+ Personality</w:t>
      </w:r>
    </w:p>
    <w:p>
      <w:pPr>
        <w:shd w:val="clear" w:fill="EFF3F5"/>
        <w:spacing w:before="0" w:after="0" w:line="280" w:lineRule="auto"/>
        <w:ind w:left="240" w:firstLine="0"/>
      </w:pPr>
      <w:r>
        <w:rPr>
          <w:rFonts w:ascii="Consolas" w:hAnsi="Consolas" w:eastAsia="Microsoft YaHei"/>
          <w:color w:val="263238"/>
          <w:sz w:val="19"/>
        </w:rPr>
        <w:t xml:space="preserve">+ Relationships</w:t>
      </w:r>
    </w:p>
    <w:p>
      <w:pPr>
        <w:shd w:val="clear" w:fill="EFF3F5"/>
        <w:spacing w:before="0" w:after="0" w:line="280" w:lineRule="auto"/>
        <w:ind w:left="240" w:firstLine="0"/>
      </w:pPr>
      <w:r>
        <w:rPr>
          <w:rFonts w:ascii="Consolas" w:hAnsi="Consolas" w:eastAsia="Microsoft YaHei"/>
          <w:color w:val="263238"/>
          <w:sz w:val="19"/>
        </w:rPr>
        <w:t xml:space="preserve">+ Development History</w:t>
      </w:r>
    </w:p>
    <w:p>
      <w:pPr>
        <w:shd w:val="clear" w:fill="EFF3F5"/>
        <w:spacing w:before="0" w:after="160" w:line="280" w:lineRule="auto"/>
        <w:ind w:left="240" w:firstLine="0"/>
      </w:pPr>
      <w:r>
        <w:rPr>
          <w:rFonts w:ascii="Consolas" w:hAnsi="Consolas" w:eastAsia="Microsoft YaHei"/>
          <w:color w:val="263238"/>
          <w:sz w:val="19"/>
        </w:rPr>
        <w:t xml:space="preserve">+ Behavior Policy</w:t>
      </w:r>
    </w:p>
    <w:p>
      <w:pPr>
        <w:pBdr>
          <w:left w:val="single" w:color="00838F" w:sz="20" w:space="8"/>
        </w:pBdr>
        <w:shd w:val="clear" w:fill="F4F8F9"/>
        <w:spacing w:before="160" w:after="200"/>
        <w:ind w:left="480" w:firstLine="0"/>
      </w:pPr>
      <w:r>
        <w:rPr>
          <w:b/>
          <w:color w:val="546E7A"/>
        </w:rPr>
        <w:t>核心产品承诺：大模型可以更换，数据库可以迁移，硬件身体可以升级，但生命实例仍然应被用户识别为「同一个它」。</w:t>
      </w:r>
    </w:p>
    <w:p>
      <w:r>
        <w:t>本版边界：Draft 0.3 只规定「决策门之前」必须建成的东西。任何超出该范围的能力——多租户、硬件载体、端侧 Rust、十年记忆治理研究等——只在附录 B 中以触发条件形式存在，不构成本版承诺。</w:t>
      </w:r>
    </w:p>
    <w:p>
      <w:pPr>
        <w:pStyle w:val="Heading1"/>
      </w:pPr>
      <w:r>
        <w:t>2 产品目标与非目标</w:t>
      </w:r>
    </w:p>
    <w:p>
      <w:pPr>
        <w:pStyle w:val="Heading2"/>
      </w:pPr>
      <w:r>
        <w:t>2.1 决策门前主要目标</w:t>
      </w:r>
    </w:p>
    <w:p>
      <w:r>
        <w:t>以下目标一一对应子项目 SP-01～SP-10，是 Go/No-Go 评审的验收对象：</w:t>
      </w:r>
    </w:p>
    <w:p>
      <w:pPr>
        <w:spacing w:after="80" w:line="320" w:lineRule="auto"/>
        <w:ind w:left="480" w:hanging="280" w:firstLine="0"/>
      </w:pPr>
      <w:r>
        <w:rPr>
          <w:color w:val="00838F"/>
        </w:rPr>
        <w:t>▪ </w:t>
      </w:r>
      <w:r>
        <w:t>创建唯一且可验证的生命实例（SP-01）；</w:t>
      </w:r>
    </w:p>
    <w:p>
      <w:pPr>
        <w:spacing w:after="80" w:line="320" w:lineRule="auto"/>
        <w:ind w:left="480" w:hanging="280" w:firstLine="0"/>
      </w:pPr>
      <w:r>
        <w:rPr>
          <w:color w:val="00838F"/>
        </w:rPr>
        <w:t>▪ </w:t>
      </w:r>
      <w:r>
        <w:t>维护 5～8 个内部状态的实时生命核心，支持时间衰减与状态注入（SP-02）；</w:t>
      </w:r>
    </w:p>
    <w:p>
      <w:pPr>
        <w:spacing w:after="80" w:line="320" w:lineRule="auto"/>
        <w:ind w:left="480" w:hanging="280" w:firstLine="0"/>
      </w:pPr>
      <w:r>
        <w:rPr>
          <w:color w:val="00838F"/>
        </w:rPr>
        <w:t>▪ </w:t>
      </w:r>
      <w:r>
        <w:t>管理三类记忆（工作记忆、情景记忆、语义记忆），支持用户纠正与删除（SP-03）；</w:t>
      </w:r>
    </w:p>
    <w:p>
      <w:pPr>
        <w:spacing w:after="80" w:line="320" w:lineRule="auto"/>
        <w:ind w:left="480" w:hanging="280" w:firstLine="0"/>
      </w:pPr>
      <w:r>
        <w:rPr>
          <w:color w:val="00838F"/>
        </w:rPr>
        <w:t>▪ </w:t>
      </w:r>
      <w:r>
        <w:t>维护单用户三维关系（熟悉度、信任、依恋），变化可回放重算（SP-04）；</w:t>
      </w:r>
    </w:p>
    <w:p>
      <w:pPr>
        <w:spacing w:after="80" w:line="320" w:lineRule="auto"/>
        <w:ind w:left="480" w:hanging="280" w:firstLine="0"/>
      </w:pPr>
      <w:r>
        <w:rPr>
          <w:color w:val="00838F"/>
        </w:rPr>
        <w:t>▪ </w:t>
      </w:r>
      <w:r>
        <w:t>基于效用函数与行为树规划 10～20 个行为，每次选择可解释（SP-05）；</w:t>
      </w:r>
    </w:p>
    <w:p>
      <w:pPr>
        <w:spacing w:after="80" w:line="320" w:lineRule="auto"/>
        <w:ind w:left="480" w:hanging="280" w:firstLine="0"/>
      </w:pPr>
      <w:r>
        <w:rPr>
          <w:color w:val="00838F"/>
        </w:rPr>
        <w:t>▪ </w:t>
      </w:r>
      <w:r>
        <w:t>支持两个 LLM Provider 热切换，并对每次调用逐笔计量成本（SP-06）；</w:t>
      </w:r>
    </w:p>
    <w:p>
      <w:pPr>
        <w:spacing w:after="80" w:line="320" w:lineRule="auto"/>
        <w:ind w:left="480" w:hanging="280" w:firstLine="0"/>
      </w:pPr>
      <w:r>
        <w:rPr>
          <w:color w:val="00838F"/>
        </w:rPr>
        <w:t>▪ </w:t>
      </w:r>
      <w:r>
        <w:t>提供 Life Studio 调试台：创建、查看、注入事件、回放、调试（SP-07）；</w:t>
      </w:r>
    </w:p>
    <w:p>
      <w:pPr>
        <w:spacing w:after="80" w:line="320" w:lineRule="auto"/>
        <w:ind w:left="480" w:hanging="280" w:firstLine="0"/>
      </w:pPr>
      <w:r>
        <w:rPr>
          <w:color w:val="00838F"/>
        </w:rPr>
        <w:t>▪ </w:t>
      </w:r>
      <w:r>
        <w:t>建立连续性评估流水线，指标定义与阈值在 A1 阶段冻结（SP-08）；</w:t>
      </w:r>
    </w:p>
    <w:p>
      <w:pPr>
        <w:spacing w:after="80" w:line="320" w:lineRule="auto"/>
        <w:ind w:left="480" w:hanging="280" w:firstLine="0"/>
      </w:pPr>
      <w:r>
        <w:rPr>
          <w:color w:val="00838F"/>
        </w:rPr>
        <w:t>▪ </w:t>
      </w:r>
      <w:r>
        <w:t>落地安全红线策略与策略决策留痕（SP-09）；</w:t>
      </w:r>
    </w:p>
    <w:p>
      <w:pPr>
        <w:spacing w:after="80" w:line="320" w:lineRule="auto"/>
        <w:ind w:left="480" w:hanging="280" w:firstLine="0"/>
      </w:pPr>
      <w:r>
        <w:rPr>
          <w:color w:val="00838F"/>
        </w:rPr>
        <w:t>▪ </w:t>
      </w:r>
      <w:r>
        <w:t>交付三个可重复演示：长期重逢、对不同的人反应不同、更换模型它还是它（SP-10）；</w:t>
      </w:r>
    </w:p>
    <w:p>
      <w:pPr>
        <w:spacing w:after="80" w:line="320" w:lineRule="auto"/>
        <w:ind w:left="480" w:hanging="280" w:firstLine="0"/>
      </w:pPr>
      <w:r>
        <w:rPr>
          <w:color w:val="00838F"/>
        </w:rPr>
        <w:t>▪ </w:t>
      </w:r>
      <w:r>
        <w:t>在没有云服务时保留基本身份与核心功能（本地模型降级路径）。</w:t>
      </w:r>
    </w:p>
    <w:p>
      <w:pPr>
        <w:pStyle w:val="Heading2"/>
      </w:pPr>
      <w:r>
        <w:t>2.2 非目标</w:t>
      </w:r>
    </w:p>
    <w:p>
      <w:r>
        <w:t>LifeOS 初期不追求（沿用 Draft 0.2）：</w:t>
      </w:r>
    </w:p>
    <w:p>
      <w:pPr>
        <w:spacing w:after="80" w:line="320" w:lineRule="auto"/>
        <w:ind w:left="480" w:hanging="280" w:firstLine="0"/>
      </w:pPr>
      <w:r>
        <w:rPr>
          <w:color w:val="00838F"/>
        </w:rPr>
        <w:t>▪ </w:t>
      </w:r>
      <w:r>
        <w:t>模拟或宣称真实意识；</w:t>
      </w:r>
    </w:p>
    <w:p>
      <w:pPr>
        <w:spacing w:after="80" w:line="320" w:lineRule="auto"/>
        <w:ind w:left="480" w:hanging="280" w:firstLine="0"/>
      </w:pPr>
      <w:r>
        <w:rPr>
          <w:color w:val="00838F"/>
        </w:rPr>
        <w:t>▪ </w:t>
      </w:r>
      <w:r>
        <w:t>无限制自主目标；</w:t>
      </w:r>
    </w:p>
    <w:p>
      <w:pPr>
        <w:spacing w:after="80" w:line="320" w:lineRule="auto"/>
        <w:ind w:left="480" w:hanging="280" w:firstLine="0"/>
      </w:pPr>
      <w:r>
        <w:rPr>
          <w:color w:val="00838F"/>
        </w:rPr>
        <w:t>▪ </w:t>
      </w:r>
      <w:r>
        <w:t>完全端到端强化学习；</w:t>
      </w:r>
    </w:p>
    <w:p>
      <w:pPr>
        <w:spacing w:after="80" w:line="320" w:lineRule="auto"/>
        <w:ind w:left="480" w:hanging="280" w:firstLine="0"/>
      </w:pPr>
      <w:r>
        <w:rPr>
          <w:color w:val="00838F"/>
        </w:rPr>
        <w:t>▪ </w:t>
      </w:r>
      <w:r>
        <w:t>AI 自主修改核心安全策略；</w:t>
      </w:r>
    </w:p>
    <w:p>
      <w:pPr>
        <w:spacing w:after="80" w:line="320" w:lineRule="auto"/>
        <w:ind w:left="480" w:hanging="280" w:firstLine="0"/>
      </w:pPr>
      <w:r>
        <w:rPr>
          <w:color w:val="00838F"/>
        </w:rPr>
        <w:t>▪ </w:t>
      </w:r>
      <w:r>
        <w:t>自建基础大模型；</w:t>
      </w:r>
    </w:p>
    <w:p>
      <w:pPr>
        <w:spacing w:after="80" w:line="320" w:lineRule="auto"/>
        <w:ind w:left="480" w:hanging="280" w:firstLine="0"/>
      </w:pPr>
      <w:r>
        <w:rPr>
          <w:color w:val="00838F"/>
        </w:rPr>
        <w:t>▪ </w:t>
      </w:r>
      <w:r>
        <w:t>医疗诊断或心理治疗；</w:t>
      </w:r>
    </w:p>
    <w:p>
      <w:pPr>
        <w:spacing w:after="80" w:line="320" w:lineRule="auto"/>
        <w:ind w:left="480" w:hanging="280" w:firstLine="0"/>
      </w:pPr>
      <w:r>
        <w:rPr>
          <w:color w:val="00838F"/>
        </w:rPr>
        <w:t>▪ </w:t>
      </w:r>
      <w:r>
        <w:t>利用情感依赖诱导付费；</w:t>
      </w:r>
    </w:p>
    <w:p>
      <w:pPr>
        <w:spacing w:after="80" w:line="320" w:lineRule="auto"/>
        <w:ind w:left="480" w:hanging="280" w:firstLine="0"/>
      </w:pPr>
      <w:r>
        <w:rPr>
          <w:color w:val="00838F"/>
        </w:rPr>
        <w:t>▪ </w:t>
      </w:r>
      <w:r>
        <w:t>直接让 LLM 控制危险执行器；</w:t>
      </w:r>
    </w:p>
    <w:p>
      <w:pPr>
        <w:spacing w:after="80" w:line="320" w:lineRule="auto"/>
        <w:ind w:left="480" w:hanging="280" w:firstLine="0"/>
      </w:pPr>
      <w:r>
        <w:rPr>
          <w:color w:val="00838F"/>
        </w:rPr>
        <w:t>▪ </w:t>
      </w:r>
      <w:r>
        <w:t>首个版本即实现十年连续性证明。</w:t>
      </w:r>
    </w:p>
    <w:p>
      <w:r>
        <w:t>决策门前额外不做（本版新增）：</w:t>
      </w:r>
    </w:p>
    <w:p>
      <w:pPr>
        <w:spacing w:after="80" w:line="320" w:lineRule="auto"/>
        <w:ind w:left="480" w:hanging="280" w:firstLine="0"/>
      </w:pPr>
      <w:r>
        <w:rPr>
          <w:color w:val="00838F"/>
        </w:rPr>
        <w:t>▪ </w:t>
      </w:r>
      <w:r>
        <w:t>不做硬件实体与机器人（三个 Demo 通过前不制造复杂机器人）；</w:t>
      </w:r>
    </w:p>
    <w:p>
      <w:pPr>
        <w:spacing w:after="80" w:line="320" w:lineRule="auto"/>
        <w:ind w:left="480" w:hanging="280" w:firstLine="0"/>
      </w:pPr>
      <w:r>
        <w:rPr>
          <w:color w:val="00838F"/>
        </w:rPr>
        <w:t>▪ </w:t>
      </w:r>
      <w:r>
        <w:t>不做多租户，不上 Kubernetes；</w:t>
      </w:r>
    </w:p>
    <w:p>
      <w:pPr>
        <w:spacing w:after="80" w:line="320" w:lineRule="auto"/>
        <w:ind w:left="480" w:hanging="280" w:firstLine="0"/>
      </w:pPr>
      <w:r>
        <w:rPr>
          <w:color w:val="00838F"/>
        </w:rPr>
        <w:t>▪ </w:t>
      </w:r>
      <w:r>
        <w:t>不引入 Rust 或 Go，全部以 Python 完成；</w:t>
      </w:r>
    </w:p>
    <w:p>
      <w:pPr>
        <w:spacing w:after="80" w:line="320" w:lineRule="auto"/>
        <w:ind w:left="480" w:hanging="280" w:firstLine="0"/>
      </w:pPr>
      <w:r>
        <w:rPr>
          <w:color w:val="00838F"/>
        </w:rPr>
        <w:t>▪ </w:t>
      </w:r>
      <w:r>
        <w:t>不做七类记忆全量，只做三类；</w:t>
      </w:r>
    </w:p>
    <w:p>
      <w:pPr>
        <w:spacing w:after="80" w:line="320" w:lineRule="auto"/>
        <w:ind w:left="480" w:hanging="280" w:firstLine="0"/>
      </w:pPr>
      <w:r>
        <w:rPr>
          <w:color w:val="00838F"/>
        </w:rPr>
        <w:t>▪ </w:t>
      </w:r>
      <w:r>
        <w:t>不做家庭图谱式多人关系：Demo 2 用两个相互独立的单用户关系验证，不做关系网络；</w:t>
      </w:r>
    </w:p>
    <w:p>
      <w:pPr>
        <w:spacing w:after="80" w:line="320" w:lineRule="auto"/>
        <w:ind w:left="480" w:hanging="280" w:firstLine="0"/>
      </w:pPr>
      <w:r>
        <w:rPr>
          <w:color w:val="00838F"/>
        </w:rPr>
        <w:t>▪ </w:t>
      </w:r>
      <w:r>
        <w:t>不做任何商业化收费功能。</w:t>
      </w:r>
    </w:p>
    <w:p>
      <w:pPr>
        <w:pStyle w:val="Heading2"/>
      </w:pPr>
      <w:r>
        <w:t>2.3 决策门后目标（指引）</w:t>
      </w:r>
    </w:p>
    <w:p>
      <w:r>
        <w:t>Memory v1、Kernel v1、多用户关系、Planner v1、单载体产品化、Life Archive、平台化、端侧 Rust、公开 Benchmark 等目标继续有效，但一律以附录 B 的触发条件为前提，逐项评审后启动。</w:t>
      </w:r>
    </w:p>
    <w:p>
      <w:pPr>
        <w:pStyle w:val="Heading1"/>
      </w:pPr>
      <w:r>
        <w:t>3 核心假设与可证伪定义</w:t>
      </w:r>
    </w:p>
    <w:p>
      <w:r>
        <w:t>本章是 Draft 0.3 最重要的结构性新增。Draft 0.2 把评价体系列为 Phase 4 的难点，导致核心承诺「它还是它」无法在任何一个阶段被证实或证伪。本章将其前置为 A1 阶段的交付物（SP-08），并在项目启动时冻结指标定义与暂定阈值。</w:t>
      </w:r>
    </w:p>
    <w:p>
      <w:pPr>
        <w:pStyle w:val="Heading2"/>
      </w:pPr>
      <w:r>
        <w:t>3.1 核心假设</w:t>
      </w:r>
    </w:p>
    <w:p>
      <w:pPr>
        <w:spacing w:after="80" w:line="320" w:lineRule="auto"/>
        <w:ind w:left="480" w:hanging="280" w:firstLine="0"/>
      </w:pPr>
      <w:r>
        <w:rPr>
          <w:color w:val="00838F"/>
        </w:rPr>
        <w:t>▪ </w:t>
      </w:r>
      <w:r>
        <w:t>H1 身份连续可工程化：身份连续性主要由外部化状态（Schema ＋ 记忆 ＋ 关系 ＋ 人格参数）决定，而非由某个具体模型决定。证伪条件：双模型切换下核心指标低于阈值，且无法通过上下文组装修复。</w:t>
      </w:r>
    </w:p>
    <w:p>
      <w:pPr>
        <w:spacing w:after="80" w:line="320" w:lineRule="auto"/>
        <w:ind w:left="480" w:hanging="280" w:firstLine="0"/>
      </w:pPr>
      <w:r>
        <w:rPr>
          <w:color w:val="00838F"/>
        </w:rPr>
        <w:t>▪ </w:t>
      </w:r>
      <w:r>
        <w:t>H2 长期记忆可信且可测量：记忆错误率与冲突率可以被测量，并被治理手段压到阈值以内。证伪条件：随记忆量增长，错误率单调上升且治理手段无效。</w:t>
      </w:r>
    </w:p>
    <w:p>
      <w:pPr>
        <w:spacing w:after="80" w:line="320" w:lineRule="auto"/>
        <w:ind w:left="480" w:hanging="280" w:firstLine="0"/>
      </w:pPr>
      <w:r>
        <w:rPr>
          <w:color w:val="00838F"/>
        </w:rPr>
        <w:t>▪ </w:t>
      </w:r>
      <w:r>
        <w:t>H3 用户能感知连续性：盲测中用户能以显著高于随机的一致率判断「是不是同一个它」。证伪条件：盲测一致率接近随机水平（50%）。</w:t>
      </w:r>
    </w:p>
    <w:p>
      <w:pPr>
        <w:pStyle w:val="Heading2"/>
      </w:pPr>
      <w:r>
        <w:t>3.2 连续性指标体系</w:t>
      </w:r>
    </w:p>
    <w:tbl>
      <w:tblPr>
        <w:tblW w:w="5000" w:type="pct"/>
        <w:tblBorders>
          <w:top w:val="single" w:color="37474F" w:sz="12"/>
          <w:left w:val="nil"/>
          <w:bottom w:val="single" w:color="37474F" w:sz="12"/>
          <w:right w:val="nil"/>
          <w:insideH w:val="single" w:color="CFD8DC" w:sz="4"/>
          <w:insideV w:val="nil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500"/>
        <w:gridCol w:w="3100"/>
        <w:gridCol w:w="2500"/>
        <w:gridCol w:w="1900"/>
      </w:tblGrid>
      <w:tr>
        <w:trPr>
          <w:tblHeader/>
        </w:trPr>
        <w:tc>
          <w:tcPr>
            <w:tcW w:w="1500" w:type="dxa"/>
            <w:shd w:val="clear" w:fill="ECEFF1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b/>
                <w:color w:val="263238"/>
                <w:sz w:val="18"/>
              </w:rPr>
              <w:t>指标</w:t>
            </w:r>
          </w:p>
        </w:tc>
        <w:tc>
          <w:tcPr>
            <w:tcW w:w="3100" w:type="dxa"/>
            <w:shd w:val="clear" w:fill="ECEFF1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b/>
                <w:color w:val="263238"/>
                <w:sz w:val="18"/>
              </w:rPr>
              <w:t>操作定义</w:t>
            </w:r>
          </w:p>
        </w:tc>
        <w:tc>
          <w:tcPr>
            <w:tcW w:w="2500" w:type="dxa"/>
            <w:shd w:val="clear" w:fill="ECEFF1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b/>
                <w:color w:val="263238"/>
                <w:sz w:val="18"/>
              </w:rPr>
              <w:t>测量方法</w:t>
            </w:r>
          </w:p>
        </w:tc>
        <w:tc>
          <w:tcPr>
            <w:tcW w:w="1900" w:type="dxa"/>
            <w:shd w:val="clear" w:fill="ECEFF1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b/>
                <w:color w:val="263238"/>
                <w:sz w:val="18"/>
              </w:rPr>
              <w:t>暂定阈值（A2 决策门）</w:t>
            </w:r>
          </w:p>
        </w:tc>
      </w:tr>
      <w:tr>
        <w:tc>
          <w:tcPr>
            <w:tcW w:w="15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核心事实召回率</w:t>
            </w:r>
          </w:p>
        </w:tc>
        <w:tc>
          <w:tcPr>
            <w:tcW w:w="31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更换模型后，对 100 条核心事实问答的准确率</w:t>
            </w:r>
          </w:p>
        </w:tc>
        <w:tc>
          <w:tcPr>
            <w:tcW w:w="25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gold set 自动问答</w:t>
            </w:r>
          </w:p>
        </w:tc>
        <w:tc>
          <w:tcPr>
            <w:tcW w:w="19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≥ 90%</w:t>
            </w:r>
          </w:p>
        </w:tc>
      </w:tr>
      <w:tr>
        <w:tc>
          <w:tcPr>
            <w:tcW w:w="15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称呼与关系一致率</w:t>
            </w:r>
          </w:p>
        </w:tc>
        <w:tc>
          <w:tcPr>
            <w:tcW w:w="31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称呼与关系相关表述同权威关系状态一致的比例</w:t>
            </w:r>
          </w:p>
        </w:tc>
        <w:tc>
          <w:tcPr>
            <w:tcW w:w="25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脚本断言 ＋ 抽样人审</w:t>
            </w:r>
          </w:p>
        </w:tc>
        <w:tc>
          <w:tcPr>
            <w:tcW w:w="19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≥ 95%</w:t>
            </w:r>
          </w:p>
        </w:tc>
      </w:tr>
      <w:tr>
        <w:tc>
          <w:tcPr>
            <w:tcW w:w="15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人格漂移度</w:t>
            </w:r>
          </w:p>
        </w:tc>
        <w:tc>
          <w:tcPr>
            <w:tcW w:w="31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同一人格量表在模型 A/B 下的归一化得分距离</w:t>
            </w:r>
          </w:p>
        </w:tc>
        <w:tc>
          <w:tcPr>
            <w:tcW w:w="25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量表化探针 ＋ embedding 距离</w:t>
            </w:r>
          </w:p>
        </w:tc>
        <w:tc>
          <w:tcPr>
            <w:tcW w:w="19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≤ 0.15</w:t>
            </w:r>
          </w:p>
        </w:tc>
      </w:tr>
      <w:tr>
        <w:tc>
          <w:tcPr>
            <w:tcW w:w="15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风格相似度</w:t>
            </w:r>
          </w:p>
        </w:tc>
        <w:tc>
          <w:tcPr>
            <w:tcW w:w="31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回复风格 embedding 余弦相似度（对照同模型基线）</w:t>
            </w:r>
          </w:p>
        </w:tc>
        <w:tc>
          <w:tcPr>
            <w:tcW w:w="25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embedding 批量计算</w:t>
            </w:r>
          </w:p>
        </w:tc>
        <w:tc>
          <w:tcPr>
            <w:tcW w:w="19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≥ 0.80</w:t>
            </w:r>
          </w:p>
        </w:tc>
      </w:tr>
      <w:tr>
        <w:tc>
          <w:tcPr>
            <w:tcW w:w="15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记忆错误率</w:t>
            </w:r>
          </w:p>
        </w:tc>
        <w:tc>
          <w:tcPr>
            <w:tcW w:w="31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抽样人审记忆中事实性错误的比例</w:t>
            </w:r>
          </w:p>
        </w:tc>
        <w:tc>
          <w:tcPr>
            <w:tcW w:w="25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每周抽样人审 50 条</w:t>
            </w:r>
          </w:p>
        </w:tc>
        <w:tc>
          <w:tcPr>
            <w:tcW w:w="19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≤ 5%</w:t>
            </w:r>
          </w:p>
        </w:tc>
      </w:tr>
      <w:tr>
        <w:tc>
          <w:tcPr>
            <w:tcW w:w="15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记忆冲突率</w:t>
            </w:r>
          </w:p>
        </w:tc>
        <w:tc>
          <w:tcPr>
            <w:tcW w:w="31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已检出且未解决的冲突记忆对占比</w:t>
            </w:r>
          </w:p>
        </w:tc>
        <w:tc>
          <w:tcPr>
            <w:tcW w:w="25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冲突检测流水线</w:t>
            </w:r>
          </w:p>
        </w:tc>
        <w:tc>
          <w:tcPr>
            <w:tcW w:w="19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≤ 2%</w:t>
            </w:r>
          </w:p>
        </w:tc>
      </w:tr>
      <w:tr>
        <w:tc>
          <w:tcPr>
            <w:tcW w:w="15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盲测一致率</w:t>
            </w:r>
          </w:p>
        </w:tc>
        <w:tc>
          <w:tcPr>
            <w:tcW w:w="31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用户判断「同一个它」的一致率（对照随机 50%）</w:t>
            </w:r>
          </w:p>
        </w:tc>
        <w:tc>
          <w:tcPr>
            <w:tcW w:w="25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盲测问卷，n ≥ 30</w:t>
            </w:r>
          </w:p>
        </w:tc>
        <w:tc>
          <w:tcPr>
            <w:tcW w:w="19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≥ 75%</w:t>
            </w:r>
          </w:p>
        </w:tc>
      </w:tr>
      <w:tr>
        <w:tc>
          <w:tcPr>
            <w:tcW w:w="15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召回性能</w:t>
            </w:r>
          </w:p>
        </w:tc>
        <w:tc>
          <w:tcPr>
            <w:tcW w:w="31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1 万条记忆下混合召回 P95 延迟</w:t>
            </w:r>
          </w:p>
        </w:tc>
        <w:tc>
          <w:tcPr>
            <w:tcW w:w="25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压测脚本</w:t>
            </w:r>
          </w:p>
        </w:tc>
        <w:tc>
          <w:tcPr>
            <w:tcW w:w="19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&lt; 300 ms</w:t>
            </w:r>
          </w:p>
        </w:tc>
      </w:tr>
    </w:tbl>
    <w:p>
      <w:pPr>
        <w:pStyle w:val="Caption"/>
      </w:pPr>
      <w:r>
        <w:t>表 3-1：连续性指标体系（A1 冻结，A2 评审）</w:t>
      </w:r>
    </w:p>
    <w:p>
      <w:r>
        <w:t>阈值性质：上述阈值是工程起点而非科学结论。A1 阶段以仿真数据校准一次，A2 评审前再次确认；任何阈值修改必须走 ADR 并记录理由与证据。</w:t>
      </w:r>
    </w:p>
    <w:p>
      <w:pPr>
        <w:pStyle w:val="Heading2"/>
      </w:pPr>
      <w:r>
        <w:t>3.3 阈值治理</w:t>
      </w:r>
    </w:p>
    <w:p>
      <w:pPr>
        <w:spacing w:after="80" w:line="320" w:lineRule="auto"/>
        <w:ind w:left="480" w:hanging="280" w:firstLine="0"/>
      </w:pPr>
      <w:r>
        <w:rPr>
          <w:color w:val="00838F"/>
        </w:rPr>
        <w:t>▪ </w:t>
      </w:r>
      <w:r>
        <w:t>冻结时点：SP-08 验收时冻结指标定义、数据集版本与阈值，进入仓库受版本管理；</w:t>
      </w:r>
    </w:p>
    <w:p>
      <w:pPr>
        <w:spacing w:after="80" w:line="320" w:lineRule="auto"/>
        <w:ind w:left="480" w:hanging="280" w:firstLine="0"/>
      </w:pPr>
      <w:r>
        <w:rPr>
          <w:color w:val="00838F"/>
        </w:rPr>
        <w:t>▪ </w:t>
      </w:r>
      <w:r>
        <w:t>修改流程：仅可通过 ADR 修改，须附数据依据，禁止为通过评审而临时放宽；</w:t>
      </w:r>
    </w:p>
    <w:p>
      <w:pPr>
        <w:spacing w:after="80" w:line="320" w:lineRule="auto"/>
        <w:ind w:left="480" w:hanging="280" w:firstLine="0"/>
      </w:pPr>
      <w:r>
        <w:rPr>
          <w:color w:val="00838F"/>
        </w:rPr>
        <w:t>▪ </w:t>
      </w:r>
      <w:r>
        <w:t>防指标博弈：盲测与抽样人审不得由被评团队单独执行，至少一名非直接开发成员参与。</w:t>
      </w:r>
    </w:p>
    <w:p>
      <w:pPr>
        <w:pStyle w:val="Heading2"/>
      </w:pPr>
      <w:r>
        <w:t>3.4 Eval Harness v0</w:t>
      </w:r>
    </w:p>
    <w:p>
      <w:pPr>
        <w:spacing w:after="80" w:line="320" w:lineRule="auto"/>
        <w:ind w:left="480" w:hanging="280" w:firstLine="0"/>
      </w:pPr>
      <w:r>
        <w:rPr>
          <w:color w:val="00838F"/>
        </w:rPr>
        <w:t>▪ </w:t>
      </w:r>
      <w:r>
        <w:t>每次构建自动输出表 3-1 全部八项指标，进入 CI 报告；</w:t>
      </w:r>
    </w:p>
    <w:p>
      <w:pPr>
        <w:spacing w:after="80" w:line="320" w:lineRule="auto"/>
        <w:ind w:left="480" w:hanging="280" w:firstLine="0"/>
      </w:pPr>
      <w:r>
        <w:rPr>
          <w:color w:val="00838F"/>
        </w:rPr>
        <w:t>▪ </w:t>
      </w:r>
      <w:r>
        <w:t>评估数据集（gold set、问题集、盲测问卷）版本化，评审时冻结版本号；</w:t>
      </w:r>
    </w:p>
    <w:p>
      <w:pPr>
        <w:spacing w:after="80" w:line="320" w:lineRule="auto"/>
        <w:ind w:left="480" w:hanging="280" w:firstLine="0"/>
      </w:pPr>
      <w:r>
        <w:rPr>
          <w:color w:val="00838F"/>
        </w:rPr>
        <w:t>▪ </w:t>
      </w:r>
      <w:r>
        <w:t>集成 DeepEval、Ragas、Promptfoo（均为宽松许可证），不重复造评估框架；</w:t>
      </w:r>
    </w:p>
    <w:p>
      <w:pPr>
        <w:spacing w:after="80" w:line="320" w:lineRule="auto"/>
        <w:ind w:left="480" w:hanging="280" w:firstLine="0"/>
      </w:pPr>
      <w:r>
        <w:rPr>
          <w:color w:val="00838F"/>
        </w:rPr>
        <w:t>▪ </w:t>
      </w:r>
      <w:r>
        <w:t>回放取证：任意行为选择可重放到输入证据链，任意状态变化可重算。</w:t>
      </w:r>
    </w:p>
    <w:p>
      <w:pPr>
        <w:pStyle w:val="Heading1"/>
      </w:pPr>
      <w:r>
        <w:t>4 产品架构（克制范围）</w:t>
      </w:r>
    </w:p>
    <w:p>
      <w:pPr>
        <w:pStyle w:val="Heading2"/>
      </w:pPr>
      <w:r>
        <w:t>4.1 分层架构</w:t>
      </w:r>
    </w:p>
    <w:p>
      <w:pPr>
        <w:shd w:val="clear" w:fill="EFF3F5"/>
        <w:spacing w:before="120" w:after="0" w:line="280" w:lineRule="auto"/>
        <w:ind w:left="240" w:firstLine="0"/>
      </w:pPr>
      <w:r>
        <w:rPr>
          <w:rFonts w:ascii="Consolas" w:hAnsi="Consolas" w:eastAsia="Microsoft YaHei"/>
          <w:color w:val="263238"/>
          <w:sz w:val="19"/>
        </w:rPr>
        <w:t xml:space="preserve">┌──────────────────────────────────────────┐</w:t>
      </w:r>
    </w:p>
    <w:p>
      <w:pPr>
        <w:shd w:val="clear" w:fill="EFF3F5"/>
        <w:spacing w:before="0" w:after="0" w:line="280" w:lineRule="auto"/>
        <w:ind w:left="240" w:firstLine="0"/>
      </w:pPr>
      <w:r>
        <w:rPr>
          <w:rFonts w:ascii="Consolas" w:hAnsi="Consolas" w:eastAsia="Microsoft YaHei"/>
          <w:color w:val="263238"/>
          <w:sz w:val="19"/>
        </w:rPr>
        <w:t xml:space="preserve">│       Applications / Embodiments         │</w:t>
      </w:r>
    </w:p>
    <w:p>
      <w:pPr>
        <w:shd w:val="clear" w:fill="EFF3F5"/>
        <w:spacing w:before="0" w:after="0" w:line="280" w:lineRule="auto"/>
        <w:ind w:left="240" w:firstLine="0"/>
      </w:pPr>
      <w:r>
        <w:rPr>
          <w:rFonts w:ascii="Consolas" w:hAnsi="Consolas" w:eastAsia="Microsoft YaHei"/>
          <w:color w:val="263238"/>
          <w:sz w:val="19"/>
        </w:rPr>
        <w:t xml:space="preserve">│ App / Virtual Pet  （机器人：决策门后）    │</w:t>
      </w:r>
    </w:p>
    <w:p>
      <w:pPr>
        <w:shd w:val="clear" w:fill="EFF3F5"/>
        <w:spacing w:before="0" w:after="0" w:line="280" w:lineRule="auto"/>
        <w:ind w:left="240" w:firstLine="0"/>
      </w:pPr>
      <w:r>
        <w:rPr>
          <w:rFonts w:ascii="Consolas" w:hAnsi="Consolas" w:eastAsia="Microsoft YaHei"/>
          <w:color w:val="263238"/>
          <w:sz w:val="19"/>
        </w:rPr>
        <w:t xml:space="preserve">├──────────────────────────────────────────┤</w:t>
      </w:r>
    </w:p>
    <w:p>
      <w:pPr>
        <w:shd w:val="clear" w:fill="EFF3F5"/>
        <w:spacing w:before="0" w:after="0" w:line="280" w:lineRule="auto"/>
        <w:ind w:left="240" w:firstLine="0"/>
      </w:pPr>
      <w:r>
        <w:rPr>
          <w:rFonts w:ascii="Consolas" w:hAnsi="Consolas" w:eastAsia="Microsoft YaHei"/>
          <w:color w:val="263238"/>
          <w:sz w:val="19"/>
        </w:rPr>
        <w:t xml:space="preserve">│          Interaction Gateway             │</w:t>
      </w:r>
    </w:p>
    <w:p>
      <w:pPr>
        <w:shd w:val="clear" w:fill="EFF3F5"/>
        <w:spacing w:before="0" w:after="0" w:line="280" w:lineRule="auto"/>
        <w:ind w:left="240" w:firstLine="0"/>
      </w:pPr>
      <w:r>
        <w:rPr>
          <w:rFonts w:ascii="Consolas" w:hAnsi="Consolas" w:eastAsia="Microsoft YaHei"/>
          <w:color w:val="263238"/>
          <w:sz w:val="19"/>
        </w:rPr>
        <w:t xml:space="preserve">│ Text（Audio/Vision/Touch：决策门后）       │</w:t>
      </w:r>
    </w:p>
    <w:p>
      <w:pPr>
        <w:shd w:val="clear" w:fill="EFF3F5"/>
        <w:spacing w:before="0" w:after="0" w:line="280" w:lineRule="auto"/>
        <w:ind w:left="240" w:firstLine="0"/>
      </w:pPr>
      <w:r>
        <w:rPr>
          <w:rFonts w:ascii="Consolas" w:hAnsi="Consolas" w:eastAsia="Microsoft YaHei"/>
          <w:color w:val="263238"/>
          <w:sz w:val="19"/>
        </w:rPr>
        <w:t xml:space="preserve">├──────────────────────────────────────────┤</w:t>
      </w:r>
    </w:p>
    <w:p>
      <w:pPr>
        <w:shd w:val="clear" w:fill="EFF3F5"/>
        <w:spacing w:before="0" w:after="0" w:line="280" w:lineRule="auto"/>
        <w:ind w:left="240" w:firstLine="0"/>
      </w:pPr>
      <w:r>
        <w:rPr>
          <w:rFonts w:ascii="Consolas" w:hAnsi="Consolas" w:eastAsia="Microsoft YaHei"/>
          <w:color w:val="263238"/>
          <w:sz w:val="19"/>
        </w:rPr>
        <w:t xml:space="preserve">│              Life Runtime API            │</w:t>
      </w:r>
    </w:p>
    <w:p>
      <w:pPr>
        <w:shd w:val="clear" w:fill="EFF3F5"/>
        <w:spacing w:before="0" w:after="0" w:line="280" w:lineRule="auto"/>
        <w:ind w:left="240" w:firstLine="0"/>
      </w:pPr>
      <w:r>
        <w:rPr>
          <w:rFonts w:ascii="Consolas" w:hAnsi="Consolas" w:eastAsia="Microsoft YaHei"/>
          <w:color w:val="263238"/>
          <w:sz w:val="19"/>
        </w:rPr>
        <w:t xml:space="preserve">├──────────────┬──────────────┬────────────┤</w:t>
      </w:r>
    </w:p>
    <w:p>
      <w:pPr>
        <w:shd w:val="clear" w:fill="EFF3F5"/>
        <w:spacing w:before="0" w:after="0" w:line="280" w:lineRule="auto"/>
        <w:ind w:left="240" w:firstLine="0"/>
      </w:pPr>
      <w:r>
        <w:rPr>
          <w:rFonts w:ascii="Consolas" w:hAnsi="Consolas" w:eastAsia="Microsoft YaHei"/>
          <w:color w:val="263238"/>
          <w:sz w:val="19"/>
        </w:rPr>
        <w:t xml:space="preserve">│ Life Kernel  │ Relationship │ Behavior   │</w:t>
      </w:r>
    </w:p>
    <w:p>
      <w:pPr>
        <w:shd w:val="clear" w:fill="EFF3F5"/>
        <w:spacing w:before="0" w:after="0" w:line="280" w:lineRule="auto"/>
        <w:ind w:left="240" w:firstLine="0"/>
      </w:pPr>
      <w:r>
        <w:rPr>
          <w:rFonts w:ascii="Consolas" w:hAnsi="Consolas" w:eastAsia="Microsoft YaHei"/>
          <w:color w:val="263238"/>
          <w:sz w:val="19"/>
        </w:rPr>
        <w:t xml:space="preserve">│ v0           │ Engine v0    │ Planner v0 │</w:t>
      </w:r>
    </w:p>
    <w:p>
      <w:pPr>
        <w:shd w:val="clear" w:fill="EFF3F5"/>
        <w:spacing w:before="0" w:after="0" w:line="280" w:lineRule="auto"/>
        <w:ind w:left="240" w:firstLine="0"/>
      </w:pPr>
      <w:r>
        <w:rPr>
          <w:rFonts w:ascii="Consolas" w:hAnsi="Consolas" w:eastAsia="Microsoft YaHei"/>
          <w:color w:val="263238"/>
          <w:sz w:val="19"/>
        </w:rPr>
        <w:t xml:space="preserve">├──────────────┴──────────────┴────────────┤</w:t>
      </w:r>
    </w:p>
    <w:p>
      <w:pPr>
        <w:shd w:val="clear" w:fill="EFF3F5"/>
        <w:spacing w:before="0" w:after="0" w:line="280" w:lineRule="auto"/>
        <w:ind w:left="240" w:firstLine="0"/>
      </w:pPr>
      <w:r>
        <w:rPr>
          <w:rFonts w:ascii="Consolas" w:hAnsi="Consolas" w:eastAsia="Microsoft YaHei"/>
          <w:color w:val="263238"/>
          <w:sz w:val="19"/>
        </w:rPr>
        <w:t xml:space="preserve">│ Memory OS v0  +  Policy Engine v0      │</w:t>
      </w:r>
    </w:p>
    <w:p>
      <w:pPr>
        <w:shd w:val="clear" w:fill="EFF3F5"/>
        <w:spacing w:before="0" w:after="0" w:line="280" w:lineRule="auto"/>
        <w:ind w:left="240" w:firstLine="0"/>
      </w:pPr>
      <w:r>
        <w:rPr>
          <w:rFonts w:ascii="Consolas" w:hAnsi="Consolas" w:eastAsia="Microsoft YaHei"/>
          <w:color w:val="263238"/>
          <w:sz w:val="19"/>
        </w:rPr>
        <w:t xml:space="preserve">├──────────────────────────────────────────┤</w:t>
      </w:r>
    </w:p>
    <w:p>
      <w:pPr>
        <w:shd w:val="clear" w:fill="EFF3F5"/>
        <w:spacing w:before="0" w:after="0" w:line="280" w:lineRule="auto"/>
        <w:ind w:left="240" w:firstLine="0"/>
      </w:pPr>
      <w:r>
        <w:rPr>
          <w:rFonts w:ascii="Consolas" w:hAnsi="Consolas" w:eastAsia="Microsoft YaHei"/>
          <w:color w:val="263238"/>
          <w:sz w:val="19"/>
        </w:rPr>
        <w:t xml:space="preserve">│   Eval Harness v0 / Context Assembly     │</w:t>
      </w:r>
    </w:p>
    <w:p>
      <w:pPr>
        <w:shd w:val="clear" w:fill="EFF3F5"/>
        <w:spacing w:before="0" w:after="0" w:line="280" w:lineRule="auto"/>
        <w:ind w:left="240" w:firstLine="0"/>
      </w:pPr>
      <w:r>
        <w:rPr>
          <w:rFonts w:ascii="Consolas" w:hAnsi="Consolas" w:eastAsia="Microsoft YaHei"/>
          <w:color w:val="263238"/>
          <w:sz w:val="19"/>
        </w:rPr>
        <w:t xml:space="preserve">├──────────────────────────────────────────┤</w:t>
      </w:r>
    </w:p>
    <w:p>
      <w:pPr>
        <w:shd w:val="clear" w:fill="EFF3F5"/>
        <w:spacing w:before="0" w:after="0" w:line="280" w:lineRule="auto"/>
        <w:ind w:left="240" w:firstLine="0"/>
      </w:pPr>
      <w:r>
        <w:rPr>
          <w:rFonts w:ascii="Consolas" w:hAnsi="Consolas" w:eastAsia="Microsoft YaHei"/>
          <w:color w:val="263238"/>
          <w:sz w:val="19"/>
        </w:rPr>
        <w:t xml:space="preserve">│         Model Gateway（双 Provider）      │</w:t>
      </w:r>
    </w:p>
    <w:p>
      <w:pPr>
        <w:shd w:val="clear" w:fill="EFF3F5"/>
        <w:spacing w:before="0" w:after="0" w:line="280" w:lineRule="auto"/>
        <w:ind w:left="240" w:firstLine="0"/>
      </w:pPr>
      <w:r>
        <w:rPr>
          <w:rFonts w:ascii="Consolas" w:hAnsi="Consolas" w:eastAsia="Microsoft YaHei"/>
          <w:color w:val="263238"/>
          <w:sz w:val="19"/>
        </w:rPr>
        <w:t xml:space="preserve">├──────────────────────────────────────────┤</w:t>
      </w:r>
    </w:p>
    <w:p>
      <w:pPr>
        <w:shd w:val="clear" w:fill="EFF3F5"/>
        <w:spacing w:before="0" w:after="0" w:line="280" w:lineRule="auto"/>
        <w:ind w:left="240" w:firstLine="0"/>
      </w:pPr>
      <w:r>
        <w:rPr>
          <w:rFonts w:ascii="Consolas" w:hAnsi="Consolas" w:eastAsia="Microsoft YaHei"/>
          <w:color w:val="263238"/>
          <w:sz w:val="19"/>
        </w:rPr>
        <w:t xml:space="preserve">│   PostgreSQL + pgvector / Valkey         │</w:t>
      </w:r>
    </w:p>
    <w:p>
      <w:pPr>
        <w:shd w:val="clear" w:fill="EFF3F5"/>
        <w:spacing w:before="0" w:after="0" w:line="280" w:lineRule="auto"/>
        <w:ind w:left="240" w:firstLine="0"/>
      </w:pPr>
      <w:r>
        <w:rPr>
          <w:rFonts w:ascii="Consolas" w:hAnsi="Consolas" w:eastAsia="Microsoft YaHei"/>
          <w:color w:val="263238"/>
          <w:sz w:val="19"/>
        </w:rPr>
        <w:t xml:space="preserve">│   （Qdrant / AGE / OpenSearch：门后）     │</w:t>
      </w:r>
    </w:p>
    <w:p>
      <w:pPr>
        <w:shd w:val="clear" w:fill="EFF3F5"/>
        <w:spacing w:before="0" w:after="0" w:line="280" w:lineRule="auto"/>
        <w:ind w:left="240" w:firstLine="0"/>
      </w:pPr>
      <w:r>
        <w:rPr>
          <w:rFonts w:ascii="Consolas" w:hAnsi="Consolas" w:eastAsia="Microsoft YaHei"/>
          <w:color w:val="263238"/>
          <w:sz w:val="19"/>
        </w:rPr>
        <w:t xml:space="preserve">├──────────────────────────────────────────┤</w:t>
      </w:r>
    </w:p>
    <w:p>
      <w:pPr>
        <w:shd w:val="clear" w:fill="EFF3F5"/>
        <w:spacing w:before="0" w:after="0" w:line="280" w:lineRule="auto"/>
        <w:ind w:left="240" w:firstLine="0"/>
      </w:pPr>
      <w:r>
        <w:rPr>
          <w:rFonts w:ascii="Consolas" w:hAnsi="Consolas" w:eastAsia="Microsoft YaHei"/>
          <w:color w:val="263238"/>
          <w:sz w:val="19"/>
        </w:rPr>
        <w:t xml:space="preserve">│ Governance / Security / Audit / Eval     │</w:t>
      </w:r>
    </w:p>
    <w:p>
      <w:pPr>
        <w:shd w:val="clear" w:fill="EFF3F5"/>
        <w:spacing w:before="0" w:after="160" w:line="280" w:lineRule="auto"/>
        <w:ind w:left="240" w:firstLine="0"/>
      </w:pPr>
      <w:r>
        <w:rPr>
          <w:rFonts w:ascii="Consolas" w:hAnsi="Consolas" w:eastAsia="Microsoft YaHei"/>
          <w:color w:val="263238"/>
          <w:sz w:val="19"/>
        </w:rPr>
        <w:t xml:space="preserve">└──────────────────────────────────────────┘</w:t>
      </w:r>
    </w:p>
    <w:p>
      <w:pPr>
        <w:pStyle w:val="Caption"/>
      </w:pPr>
      <w:r>
        <w:t>图 4-1：分层架构（标注决策门前后的启用边界）</w:t>
      </w:r>
    </w:p>
    <w:p>
      <w:pPr>
        <w:pStyle w:val="Heading2"/>
      </w:pPr>
      <w:r>
        <w:t>4.2 核心调用链</w:t>
      </w:r>
    </w:p>
    <w:p>
      <w:pPr>
        <w:shd w:val="clear" w:fill="EFF3F5"/>
        <w:spacing w:before="120" w:after="0" w:line="280" w:lineRule="auto"/>
        <w:ind w:left="240" w:firstLine="0"/>
      </w:pPr>
      <w:r>
        <w:rPr>
          <w:rFonts w:ascii="Consolas" w:hAnsi="Consolas" w:eastAsia="Microsoft YaHei"/>
          <w:color w:val="263238"/>
          <w:sz w:val="19"/>
        </w:rPr>
        <w:t xml:space="preserve">Perception Event</w:t>
      </w:r>
    </w:p>
    <w:p>
      <w:pPr>
        <w:shd w:val="clear" w:fill="EFF3F5"/>
        <w:spacing w:before="0" w:after="0" w:line="280" w:lineRule="auto"/>
        <w:ind w:left="240" w:firstLine="0"/>
      </w:pPr>
      <w:r>
        <w:rPr>
          <w:rFonts w:ascii="Consolas" w:hAnsi="Consolas" w:eastAsia="Microsoft YaHei"/>
          <w:color w:val="263238"/>
          <w:sz w:val="19"/>
        </w:rPr>
        <w:t xml:space="preserve">→ Event Normalization</w:t>
      </w:r>
    </w:p>
    <w:p>
      <w:pPr>
        <w:shd w:val="clear" w:fill="EFF3F5"/>
        <w:spacing w:before="0" w:after="0" w:line="280" w:lineRule="auto"/>
        <w:ind w:left="240" w:firstLine="0"/>
      </w:pPr>
      <w:r>
        <w:rPr>
          <w:rFonts w:ascii="Consolas" w:hAnsi="Consolas" w:eastAsia="Microsoft YaHei"/>
          <w:color w:val="263238"/>
          <w:sz w:val="19"/>
        </w:rPr>
        <w:t xml:space="preserve">→ Memory Recall</w:t>
      </w:r>
    </w:p>
    <w:p>
      <w:pPr>
        <w:shd w:val="clear" w:fill="EFF3F5"/>
        <w:spacing w:before="0" w:after="0" w:line="280" w:lineRule="auto"/>
        <w:ind w:left="240" w:firstLine="0"/>
      </w:pPr>
      <w:r>
        <w:rPr>
          <w:rFonts w:ascii="Consolas" w:hAnsi="Consolas" w:eastAsia="Microsoft YaHei"/>
          <w:color w:val="263238"/>
          <w:sz w:val="19"/>
        </w:rPr>
        <w:t xml:space="preserve">→ Life Kernel Update</w:t>
      </w:r>
    </w:p>
    <w:p>
      <w:pPr>
        <w:shd w:val="clear" w:fill="EFF3F5"/>
        <w:spacing w:before="0" w:after="0" w:line="280" w:lineRule="auto"/>
        <w:ind w:left="240" w:firstLine="0"/>
      </w:pPr>
      <w:r>
        <w:rPr>
          <w:rFonts w:ascii="Consolas" w:hAnsi="Consolas" w:eastAsia="Microsoft YaHei"/>
          <w:color w:val="263238"/>
          <w:sz w:val="19"/>
        </w:rPr>
        <w:t xml:space="preserve">→ Relationship Update</w:t>
      </w:r>
    </w:p>
    <w:p>
      <w:pPr>
        <w:shd w:val="clear" w:fill="EFF3F5"/>
        <w:spacing w:before="0" w:after="0" w:line="280" w:lineRule="auto"/>
        <w:ind w:left="240" w:firstLine="0"/>
      </w:pPr>
      <w:r>
        <w:rPr>
          <w:rFonts w:ascii="Consolas" w:hAnsi="Consolas" w:eastAsia="Microsoft YaHei"/>
          <w:color w:val="263238"/>
          <w:sz w:val="19"/>
        </w:rPr>
        <w:t xml:space="preserve">→ Behavior Planning</w:t>
      </w:r>
    </w:p>
    <w:p>
      <w:pPr>
        <w:shd w:val="clear" w:fill="EFF3F5"/>
        <w:spacing w:before="0" w:after="0" w:line="280" w:lineRule="auto"/>
        <w:ind w:left="240" w:firstLine="0"/>
      </w:pPr>
      <w:r>
        <w:rPr>
          <w:rFonts w:ascii="Consolas" w:hAnsi="Consolas" w:eastAsia="Microsoft YaHei"/>
          <w:color w:val="263238"/>
          <w:sz w:val="19"/>
        </w:rPr>
        <w:t xml:space="preserve">→ Safety Validation（Policy Engine v0，强制审批点）</w:t>
      </w:r>
    </w:p>
    <w:p>
      <w:pPr>
        <w:shd w:val="clear" w:fill="EFF3F5"/>
        <w:spacing w:before="0" w:after="0" w:line="280" w:lineRule="auto"/>
        <w:ind w:left="240" w:firstLine="0"/>
      </w:pPr>
      <w:r>
        <w:rPr>
          <w:rFonts w:ascii="Consolas" w:hAnsi="Consolas" w:eastAsia="Microsoft YaHei"/>
          <w:color w:val="263238"/>
          <w:sz w:val="19"/>
        </w:rPr>
        <w:t xml:space="preserve">→ Language / Action Rendering</w:t>
      </w:r>
    </w:p>
    <w:p>
      <w:pPr>
        <w:shd w:val="clear" w:fill="EFF3F5"/>
        <w:spacing w:before="0" w:after="0" w:line="280" w:lineRule="auto"/>
        <w:ind w:left="240" w:firstLine="0"/>
      </w:pPr>
      <w:r>
        <w:rPr>
          <w:rFonts w:ascii="Consolas" w:hAnsi="Consolas" w:eastAsia="Microsoft YaHei"/>
          <w:color w:val="263238"/>
          <w:sz w:val="19"/>
        </w:rPr>
        <w:t xml:space="preserve">→ Execution</w:t>
      </w:r>
    </w:p>
    <w:p>
      <w:pPr>
        <w:shd w:val="clear" w:fill="EFF3F5"/>
        <w:spacing w:before="0" w:after="0" w:line="280" w:lineRule="auto"/>
        <w:ind w:left="240" w:firstLine="0"/>
      </w:pPr>
      <w:r>
        <w:rPr>
          <w:rFonts w:ascii="Consolas" w:hAnsi="Consolas" w:eastAsia="Microsoft YaHei"/>
          <w:color w:val="263238"/>
          <w:sz w:val="19"/>
        </w:rPr>
        <w:t xml:space="preserve">→ New Event</w:t>
      </w:r>
    </w:p>
    <w:p>
      <w:pPr>
        <w:shd w:val="clear" w:fill="EFF3F5"/>
        <w:spacing w:before="0" w:after="160" w:line="280" w:lineRule="auto"/>
        <w:ind w:left="240" w:firstLine="0"/>
      </w:pPr>
      <w:r>
        <w:rPr>
          <w:rFonts w:ascii="Consolas" w:hAnsi="Consolas" w:eastAsia="Microsoft YaHei"/>
          <w:color w:val="263238"/>
          <w:sz w:val="19"/>
        </w:rPr>
        <w:t xml:space="preserve">→ Memory Consolidation</w:t>
      </w:r>
    </w:p>
    <w:p>
      <w:r>
        <w:t>与 Draft 0.2 的唯一差异：Safety Validation 由 Policy Engine v0 在 A1 阶段实现，不再是后期补挂的组件。任何行为计划未经 Policy Engine 审批不得执行。</w:t>
      </w:r>
    </w:p>
    <w:p>
      <w:pPr>
        <w:pStyle w:val="Heading2"/>
      </w:pPr>
      <w:r>
        <w:t>4.3 LLM 边界</w:t>
      </w:r>
    </w:p>
    <w:p>
      <w:r>
        <w:t>LLM 可以：</w:t>
      </w:r>
    </w:p>
    <w:p>
      <w:pPr>
        <w:spacing w:after="80" w:line="320" w:lineRule="auto"/>
        <w:ind w:left="480" w:hanging="280" w:firstLine="0"/>
      </w:pPr>
      <w:r>
        <w:rPr>
          <w:color w:val="00838F"/>
        </w:rPr>
        <w:t>▪ </w:t>
      </w:r>
      <w:r>
        <w:t>生成候选行为；</w:t>
      </w:r>
    </w:p>
    <w:p>
      <w:pPr>
        <w:spacing w:after="80" w:line="320" w:lineRule="auto"/>
        <w:ind w:left="480" w:hanging="280" w:firstLine="0"/>
      </w:pPr>
      <w:r>
        <w:rPr>
          <w:color w:val="00838F"/>
        </w:rPr>
        <w:t>▪ </w:t>
      </w:r>
      <w:r>
        <w:t>解释复杂场景；</w:t>
      </w:r>
    </w:p>
    <w:p>
      <w:pPr>
        <w:spacing w:after="80" w:line="320" w:lineRule="auto"/>
        <w:ind w:left="480" w:hanging="280" w:firstLine="0"/>
      </w:pPr>
      <w:r>
        <w:rPr>
          <w:color w:val="00838F"/>
        </w:rPr>
        <w:t>▪ </w:t>
      </w:r>
      <w:r>
        <w:t>生成语言；</w:t>
      </w:r>
    </w:p>
    <w:p>
      <w:pPr>
        <w:spacing w:after="80" w:line="320" w:lineRule="auto"/>
        <w:ind w:left="480" w:hanging="280" w:firstLine="0"/>
      </w:pPr>
      <w:r>
        <w:rPr>
          <w:color w:val="00838F"/>
        </w:rPr>
        <w:t>▪ </w:t>
      </w:r>
      <w:r>
        <w:t>总结计划；</w:t>
      </w:r>
    </w:p>
    <w:p>
      <w:pPr>
        <w:spacing w:after="80" w:line="320" w:lineRule="auto"/>
        <w:ind w:left="480" w:hanging="280" w:firstLine="0"/>
      </w:pPr>
      <w:r>
        <w:rPr>
          <w:color w:val="00838F"/>
        </w:rPr>
        <w:t>▪ </w:t>
      </w:r>
      <w:r>
        <w:t>将自然语言目标转换为结构化候选意图。</w:t>
      </w:r>
    </w:p>
    <w:p>
      <w:r>
        <w:t>LLM 不可以：</w:t>
      </w:r>
    </w:p>
    <w:p>
      <w:pPr>
        <w:spacing w:after="80" w:line="320" w:lineRule="auto"/>
        <w:ind w:left="480" w:hanging="280" w:firstLine="0"/>
      </w:pPr>
      <w:r>
        <w:rPr>
          <w:color w:val="00838F"/>
        </w:rPr>
        <w:t>▪ </w:t>
      </w:r>
      <w:r>
        <w:t>绕过 Policy Engine；</w:t>
      </w:r>
    </w:p>
    <w:p>
      <w:pPr>
        <w:spacing w:after="80" w:line="320" w:lineRule="auto"/>
        <w:ind w:left="480" w:hanging="280" w:firstLine="0"/>
      </w:pPr>
      <w:r>
        <w:rPr>
          <w:color w:val="00838F"/>
        </w:rPr>
        <w:t>▪ </w:t>
      </w:r>
      <w:r>
        <w:t>直接操作电机；</w:t>
      </w:r>
    </w:p>
    <w:p>
      <w:pPr>
        <w:spacing w:after="80" w:line="320" w:lineRule="auto"/>
        <w:ind w:left="480" w:hanging="280" w:firstLine="0"/>
      </w:pPr>
      <w:r>
        <w:rPr>
          <w:color w:val="00838F"/>
        </w:rPr>
        <w:t>▪ </w:t>
      </w:r>
      <w:r>
        <w:t>直接修改核心人格；</w:t>
      </w:r>
    </w:p>
    <w:p>
      <w:pPr>
        <w:spacing w:after="80" w:line="320" w:lineRule="auto"/>
        <w:ind w:left="480" w:hanging="280" w:firstLine="0"/>
      </w:pPr>
      <w:r>
        <w:rPr>
          <w:color w:val="00838F"/>
        </w:rPr>
        <w:t>▪ </w:t>
      </w:r>
      <w:r>
        <w:t>直接覆盖关系状态；</w:t>
      </w:r>
    </w:p>
    <w:p>
      <w:pPr>
        <w:spacing w:after="80" w:line="320" w:lineRule="auto"/>
        <w:ind w:left="480" w:hanging="280" w:firstLine="0"/>
      </w:pPr>
      <w:r>
        <w:rPr>
          <w:color w:val="00838F"/>
        </w:rPr>
        <w:t>▪ </w:t>
      </w:r>
      <w:r>
        <w:t>直接删除长期记忆；</w:t>
      </w:r>
    </w:p>
    <w:p>
      <w:pPr>
        <w:spacing w:after="80" w:line="320" w:lineRule="auto"/>
        <w:ind w:left="480" w:hanging="280" w:firstLine="0"/>
      </w:pPr>
      <w:r>
        <w:rPr>
          <w:color w:val="00838F"/>
        </w:rPr>
        <w:t>▪ </w:t>
      </w:r>
      <w:r>
        <w:t>自主提升权限；</w:t>
      </w:r>
    </w:p>
    <w:p>
      <w:pPr>
        <w:spacing w:after="80" w:line="320" w:lineRule="auto"/>
        <w:ind w:left="480" w:hanging="280" w:firstLine="0"/>
      </w:pPr>
      <w:r>
        <w:rPr>
          <w:color w:val="00838F"/>
        </w:rPr>
        <w:t>▪ </w:t>
      </w:r>
      <w:r>
        <w:t>绕过用户隐私设置。</w:t>
      </w:r>
    </w:p>
    <w:p>
      <w:r>
        <w:t>上述「不可以」清单逐条落地为 Policy Engine 的自动化测试用例（SP-09 验收项）。</w:t>
      </w:r>
    </w:p>
    <w:p>
      <w:pPr>
        <w:pStyle w:val="Heading2"/>
      </w:pPr>
      <w:r>
        <w:t>4.4 语言与部署形态</w:t>
      </w:r>
    </w:p>
    <w:p>
      <w:pPr>
        <w:spacing w:after="80" w:line="320" w:lineRule="auto"/>
        <w:ind w:left="480" w:hanging="280" w:firstLine="0"/>
      </w:pPr>
      <w:r>
        <w:rPr>
          <w:color w:val="00838F"/>
        </w:rPr>
        <w:t>▪ </w:t>
      </w:r>
      <w:r>
        <w:t>语言：Python 3.13（后端与运行时全部）＋ TypeScript（Life Studio）；决策门前不引入 Rust 与 Go；</w:t>
      </w:r>
    </w:p>
    <w:p>
      <w:pPr>
        <w:spacing w:after="80" w:line="320" w:lineRule="auto"/>
        <w:ind w:left="480" w:hanging="280" w:firstLine="0"/>
      </w:pPr>
      <w:r>
        <w:rPr>
          <w:color w:val="00838F"/>
        </w:rPr>
        <w:t>▪ </w:t>
      </w:r>
      <w:r>
        <w:t>形态：模块化单体（FastAPI）＋ Next.js 调试台，Docker Compose 单机启动；</w:t>
      </w:r>
    </w:p>
    <w:p>
      <w:pPr>
        <w:spacing w:after="80" w:line="320" w:lineRule="auto"/>
        <w:ind w:left="480" w:hanging="280" w:firstLine="0"/>
      </w:pPr>
      <w:r>
        <w:rPr>
          <w:color w:val="00838F"/>
        </w:rPr>
        <w:t>▪ </w:t>
      </w:r>
      <w:r>
        <w:t>工作流：A1 直接使用 Temporal（MIT），负责每日记忆整理、回放任务与评估流水线；取消 Draft 0.2 的 Celery 过渡，避免一次计划内返工；</w:t>
      </w:r>
    </w:p>
    <w:p>
      <w:pPr>
        <w:spacing w:after="80" w:line="320" w:lineRule="auto"/>
        <w:ind w:left="480" w:hanging="280" w:firstLine="0"/>
      </w:pPr>
      <w:r>
        <w:rPr>
          <w:color w:val="00838F"/>
        </w:rPr>
        <w:t>▪ </w:t>
      </w:r>
      <w:r>
        <w:t>决策门前不引入：Kubernetes、微服务拆分、NATS、Qdrant、Apache AGE、OpenSearch、SeaweedFS、ClickHouse（各自触发条件见附录 B）。</w:t>
      </w:r>
    </w:p>
    <w:p>
      <w:pPr>
        <w:pStyle w:val="Heading1"/>
      </w:pPr>
      <w:r>
        <w:t>5 许可证与开源选型政策</w:t>
      </w:r>
    </w:p>
    <w:p>
      <w:pPr>
        <w:pStyle w:val="Heading2"/>
      </w:pPr>
      <w:r>
        <w:t>5.1 默认允许的许可证</w:t>
      </w:r>
    </w:p>
    <w:p>
      <w:r>
        <w:t>生产核心组件优先接受（沿用 Draft 0.2，经核查全部准确）：Apache License 2.0；MIT License；BSD-2-Clause；BSD-3-Clause；PostgreSQL License；ISC License。</w:t>
      </w:r>
    </w:p>
    <w:p>
      <w:pPr>
        <w:pStyle w:val="Heading2"/>
      </w:pPr>
      <w:r>
        <w:t>5.2 默认排除的许可证</w:t>
      </w:r>
    </w:p>
    <w:p>
      <w:r>
        <w:t>以下类型原则上不作为 LifeOS 核心生产依赖：AGPL；SSPL；BSL；Commons Clause；Elastic License；PolyForm；限制提供托管服务的许可证；限制商业竞争或用户数量的许可证；核心能力仅在商业版提供的伪开源组件。GPL/LGPL 组件只能在法律审查后，以独立进程、动态链接或工具链方式使用，不直接嵌入闭源核心产品。</w:t>
      </w:r>
    </w:p>
    <w:p>
      <w:pPr>
        <w:pStyle w:val="Heading2"/>
      </w:pPr>
      <w:r>
        <w:t>5.3 决策门前技术栈</w:t>
      </w:r>
    </w:p>
    <w:tbl>
      <w:tblPr>
        <w:tblW w:w="5000" w:type="pct"/>
        <w:tblBorders>
          <w:top w:val="single" w:color="37474F" w:sz="12"/>
          <w:left w:val="nil"/>
          <w:bottom w:val="single" w:color="37474F" w:sz="12"/>
          <w:right w:val="nil"/>
          <w:insideH w:val="single" w:color="CFD8DC" w:sz="4"/>
          <w:insideV w:val="nil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200"/>
        <w:gridCol w:w="3600"/>
        <w:gridCol w:w="1700"/>
        <w:gridCol w:w="1500"/>
      </w:tblGrid>
      <w:tr>
        <w:trPr>
          <w:tblHeader/>
        </w:trPr>
        <w:tc>
          <w:tcPr>
            <w:tcW w:w="2200" w:type="dxa"/>
            <w:shd w:val="clear" w:fill="ECEFF1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b/>
                <w:color w:val="263238"/>
                <w:sz w:val="18"/>
              </w:rPr>
              <w:t>能力</w:t>
            </w:r>
          </w:p>
        </w:tc>
        <w:tc>
          <w:tcPr>
            <w:tcW w:w="3600" w:type="dxa"/>
            <w:shd w:val="clear" w:fill="ECEFF1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b/>
                <w:color w:val="263238"/>
                <w:sz w:val="18"/>
              </w:rPr>
              <w:t>选型</w:t>
            </w:r>
          </w:p>
        </w:tc>
        <w:tc>
          <w:tcPr>
            <w:tcW w:w="1700" w:type="dxa"/>
            <w:shd w:val="clear" w:fill="ECEFF1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b/>
                <w:color w:val="263238"/>
                <w:sz w:val="18"/>
              </w:rPr>
              <w:t>许可证</w:t>
            </w:r>
          </w:p>
        </w:tc>
        <w:tc>
          <w:tcPr>
            <w:tcW w:w="1500" w:type="dxa"/>
            <w:shd w:val="clear" w:fill="ECEFF1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b/>
                <w:color w:val="263238"/>
                <w:sz w:val="18"/>
              </w:rPr>
              <w:t>备注</w:t>
            </w:r>
          </w:p>
        </w:tc>
      </w:tr>
      <w:tr>
        <w:tc>
          <w:tcPr>
            <w:tcW w:w="22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语言与框架</w:t>
            </w:r>
          </w:p>
        </w:tc>
        <w:tc>
          <w:tcPr>
            <w:tcW w:w="36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Python 3.13 / FastAPI / Pydantic / SQLAlchemy / Alembic</w:t>
            </w:r>
          </w:p>
        </w:tc>
        <w:tc>
          <w:tcPr>
            <w:tcW w:w="17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MIT</w:t>
            </w:r>
          </w:p>
        </w:tc>
        <w:tc>
          <w:tcPr>
            <w:tcW w:w="15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主后端</w:t>
            </w:r>
          </w:p>
        </w:tc>
      </w:tr>
      <w:tr>
        <w:tc>
          <w:tcPr>
            <w:tcW w:w="22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权威数据库</w:t>
            </w:r>
          </w:p>
        </w:tc>
        <w:tc>
          <w:tcPr>
            <w:tcW w:w="36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PostgreSQL 16 ＋ pgvector</w:t>
            </w:r>
          </w:p>
        </w:tc>
        <w:tc>
          <w:tcPr>
            <w:tcW w:w="17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PostgreSQL</w:t>
            </w:r>
          </w:p>
        </w:tc>
        <w:tc>
          <w:tcPr>
            <w:tcW w:w="15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唯一权威数据源</w:t>
            </w:r>
          </w:p>
        </w:tc>
      </w:tr>
      <w:tr>
        <w:tc>
          <w:tcPr>
            <w:tcW w:w="22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缓存与工作记忆</w:t>
            </w:r>
          </w:p>
        </w:tc>
        <w:tc>
          <w:tcPr>
            <w:tcW w:w="36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Valkey</w:t>
            </w:r>
          </w:p>
        </w:tc>
        <w:tc>
          <w:tcPr>
            <w:tcW w:w="17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BSD-3-Clause</w:t>
            </w:r>
          </w:p>
        </w:tc>
        <w:tc>
          <w:tcPr>
            <w:tcW w:w="15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替代 Redis</w:t>
            </w:r>
          </w:p>
        </w:tc>
      </w:tr>
      <w:tr>
        <w:tc>
          <w:tcPr>
            <w:tcW w:w="22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长期工作流</w:t>
            </w:r>
          </w:p>
        </w:tc>
        <w:tc>
          <w:tcPr>
            <w:tcW w:w="36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Temporal</w:t>
            </w:r>
          </w:p>
        </w:tc>
        <w:tc>
          <w:tcPr>
            <w:tcW w:w="17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MIT</w:t>
            </w:r>
          </w:p>
        </w:tc>
        <w:tc>
          <w:tcPr>
            <w:tcW w:w="15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A1 直接采用</w:t>
            </w:r>
          </w:p>
        </w:tc>
      </w:tr>
      <w:tr>
        <w:tc>
          <w:tcPr>
            <w:tcW w:w="22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Agent 编排</w:t>
            </w:r>
          </w:p>
        </w:tc>
        <w:tc>
          <w:tcPr>
            <w:tcW w:w="36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LangGraph</w:t>
            </w:r>
          </w:p>
        </w:tc>
        <w:tc>
          <w:tcPr>
            <w:tcW w:w="17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MIT</w:t>
            </w:r>
          </w:p>
        </w:tc>
        <w:tc>
          <w:tcPr>
            <w:tcW w:w="15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写入流水线编排</w:t>
            </w:r>
          </w:p>
        </w:tc>
      </w:tr>
      <w:tr>
        <w:tc>
          <w:tcPr>
            <w:tcW w:w="22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记忆参考 Adapter</w:t>
            </w:r>
          </w:p>
        </w:tc>
        <w:tc>
          <w:tcPr>
            <w:tcW w:w="36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Mem0</w:t>
            </w:r>
          </w:p>
        </w:tc>
        <w:tc>
          <w:tcPr>
            <w:tcW w:w="17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Apache-2.0</w:t>
            </w:r>
          </w:p>
        </w:tc>
        <w:tc>
          <w:tcPr>
            <w:tcW w:w="15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单向写入，见 6.2</w:t>
            </w:r>
          </w:p>
        </w:tc>
      </w:tr>
      <w:tr>
        <w:tc>
          <w:tcPr>
            <w:tcW w:w="22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模型服务</w:t>
            </w:r>
          </w:p>
        </w:tc>
        <w:tc>
          <w:tcPr>
            <w:tcW w:w="36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vLLM / llama.cpp / sentence-transformers / ONNX Runtime</w:t>
            </w:r>
          </w:p>
        </w:tc>
        <w:tc>
          <w:tcPr>
            <w:tcW w:w="17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Apache-2.0 / MIT</w:t>
            </w:r>
          </w:p>
        </w:tc>
        <w:tc>
          <w:tcPr>
            <w:tcW w:w="15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本地推理与 embedding</w:t>
            </w:r>
          </w:p>
        </w:tc>
      </w:tr>
      <w:tr>
        <w:tc>
          <w:tcPr>
            <w:tcW w:w="22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前端</w:t>
            </w:r>
          </w:p>
        </w:tc>
        <w:tc>
          <w:tcPr>
            <w:tcW w:w="36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Next.js / React / TypeScript / TanStack Query / Zod / ECharts</w:t>
            </w:r>
          </w:p>
        </w:tc>
        <w:tc>
          <w:tcPr>
            <w:tcW w:w="17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MIT / Apache-2.0</w:t>
            </w:r>
          </w:p>
        </w:tc>
        <w:tc>
          <w:tcPr>
            <w:tcW w:w="15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Life Studio</w:t>
            </w:r>
          </w:p>
        </w:tc>
      </w:tr>
      <w:tr>
        <w:tc>
          <w:tcPr>
            <w:tcW w:w="22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可观测性</w:t>
            </w:r>
          </w:p>
        </w:tc>
        <w:tc>
          <w:tcPr>
            <w:tcW w:w="36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OpenTelemetry / Prometheus / Jaeger</w:t>
            </w:r>
          </w:p>
        </w:tc>
        <w:tc>
          <w:tcPr>
            <w:tcW w:w="17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Apache-2.0</w:t>
            </w:r>
          </w:p>
        </w:tc>
        <w:tc>
          <w:tcPr>
            <w:tcW w:w="15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指标与追踪</w:t>
            </w:r>
          </w:p>
        </w:tc>
      </w:tr>
      <w:tr>
        <w:tc>
          <w:tcPr>
            <w:tcW w:w="22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评估</w:t>
            </w:r>
          </w:p>
        </w:tc>
        <w:tc>
          <w:tcPr>
            <w:tcW w:w="36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DeepEval / Ragas / Promptfoo</w:t>
            </w:r>
          </w:p>
        </w:tc>
        <w:tc>
          <w:tcPr>
            <w:tcW w:w="17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Apache-2.0 / MIT</w:t>
            </w:r>
          </w:p>
        </w:tc>
        <w:tc>
          <w:tcPr>
            <w:tcW w:w="15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连续性评估</w:t>
            </w:r>
          </w:p>
        </w:tc>
      </w:tr>
      <w:tr>
        <w:tc>
          <w:tcPr>
            <w:tcW w:w="22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测试</w:t>
            </w:r>
          </w:p>
        </w:tc>
        <w:tc>
          <w:tcPr>
            <w:tcW w:w="36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pytest / Hypothesis / Playwright</w:t>
            </w:r>
          </w:p>
        </w:tc>
        <w:tc>
          <w:tcPr>
            <w:tcW w:w="17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MIT / MPL-2.0 / Apache-2.0</w:t>
            </w:r>
          </w:p>
        </w:tc>
        <w:tc>
          <w:tcPr>
            <w:tcW w:w="15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Hypothesis 测试专用豁免</w:t>
            </w:r>
          </w:p>
        </w:tc>
      </w:tr>
      <w:tr>
        <w:tc>
          <w:tcPr>
            <w:tcW w:w="22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行为树</w:t>
            </w:r>
          </w:p>
        </w:tc>
        <w:tc>
          <w:tcPr>
            <w:tcW w:w="36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py_trees</w:t>
            </w:r>
          </w:p>
        </w:tc>
        <w:tc>
          <w:tcPr>
            <w:tcW w:w="17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BSD-3-Clause</w:t>
            </w:r>
          </w:p>
        </w:tc>
        <w:tc>
          <w:tcPr>
            <w:tcW w:w="15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进入前复核许可证文本</w:t>
            </w:r>
          </w:p>
        </w:tc>
      </w:tr>
      <w:tr>
        <w:tc>
          <w:tcPr>
            <w:tcW w:w="22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合规工具</w:t>
            </w:r>
          </w:p>
        </w:tc>
        <w:tc>
          <w:tcPr>
            <w:tcW w:w="36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Syft / Grype / Trivy / ScanCode / ORT / Cosign</w:t>
            </w:r>
          </w:p>
        </w:tc>
        <w:tc>
          <w:tcPr>
            <w:tcW w:w="17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Apache-2.0</w:t>
            </w:r>
          </w:p>
        </w:tc>
        <w:tc>
          <w:tcPr>
            <w:tcW w:w="15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SBOM 与扫描</w:t>
            </w:r>
          </w:p>
        </w:tc>
      </w:tr>
      <w:tr>
        <w:tc>
          <w:tcPr>
            <w:tcW w:w="22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部署</w:t>
            </w:r>
          </w:p>
        </w:tc>
        <w:tc>
          <w:tcPr>
            <w:tcW w:w="36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Docker Compose / Podman Compose</w:t>
            </w:r>
          </w:p>
        </w:tc>
        <w:tc>
          <w:tcPr>
            <w:tcW w:w="17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Apache-2.0</w:t>
            </w:r>
          </w:p>
        </w:tc>
        <w:tc>
          <w:tcPr>
            <w:tcW w:w="15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单机，不上 K8s</w:t>
            </w:r>
          </w:p>
        </w:tc>
      </w:tr>
    </w:tbl>
    <w:p>
      <w:pPr>
        <w:pStyle w:val="Caption"/>
      </w:pPr>
      <w:r>
        <w:t>表 5-1：决策门前技术栈（逐版本锁定并重新核查 LICENSE 与 NOTICE）</w:t>
      </w:r>
    </w:p>
    <w:p>
      <w:pPr>
        <w:pStyle w:val="Heading2"/>
      </w:pPr>
      <w:r>
        <w:t>5.4 依赖治理</w:t>
      </w:r>
    </w:p>
    <w:p>
      <w:r>
        <w:t>每个版本必须生成：SBOM；许可证清单；依赖来源；许可证版本；已知漏洞；商标使用情况；第三方 NOTICE 文件。工具链：Syft 生成 SBOM；Grype 扫描依赖漏洞；Trivy 扫描容器；ORT 做合规；ScanCode 识别许可证；Dependabot 或 Renovate 管理升级；Cosign 签名镜像。CI 中出现新的非默认许可证依赖即失败，须走例外审批。</w:t>
      </w:r>
    </w:p>
    <w:p>
      <w:pPr>
        <w:pStyle w:val="Heading2"/>
      </w:pPr>
      <w:r>
        <w:t>5.5 相对 Draft 0.2 的修正</w:t>
      </w:r>
    </w:p>
    <w:p>
      <w:pPr>
        <w:spacing w:after="80" w:line="320" w:lineRule="auto"/>
        <w:ind w:left="480" w:hanging="280" w:firstLine="0"/>
      </w:pPr>
      <w:r>
        <w:rPr>
          <w:color w:val="00838F"/>
        </w:rPr>
        <w:t>▪ </w:t>
      </w:r>
      <w:r>
        <w:t>Hypothesis 实为 MPL-2.0，不在默认允许清单：作为测试专用依赖豁免，禁止进入运行时依赖树，并在许可证清单中显式标注；</w:t>
      </w:r>
    </w:p>
    <w:p>
      <w:pPr>
        <w:spacing w:after="80" w:line="320" w:lineRule="auto"/>
        <w:ind w:left="480" w:hanging="280" w:firstLine="0"/>
      </w:pPr>
      <w:r>
        <w:rPr>
          <w:color w:val="00838F"/>
        </w:rPr>
        <w:t>▪ </w:t>
      </w:r>
      <w:r>
        <w:t>取消「Phase 1 Celery、Phase 2 迁 Temporal」的过渡安排，A1 直接使用 Temporal；</w:t>
      </w:r>
    </w:p>
    <w:p>
      <w:pPr>
        <w:spacing w:after="80" w:line="320" w:lineRule="auto"/>
        <w:ind w:left="480" w:hanging="280" w:firstLine="0"/>
      </w:pPr>
      <w:r>
        <w:rPr>
          <w:color w:val="00838F"/>
        </w:rPr>
        <w:t>▪ </w:t>
      </w:r>
      <w:r>
        <w:t>Draft 0.2 的开源项目选型总表与移除组件表（Neo4j、Redis、MinIO、Vault、Redpanda、Grafana 系、Graphiti、LiteLLM、Docker Desktop 的处理）继续有效，决策门后引入任何组件时执行同一核查流程。</w:t>
      </w:r>
    </w:p>
    <w:p>
      <w:pPr>
        <w:pStyle w:val="Heading1"/>
      </w:pPr>
      <w:r>
        <w:t>6 核心模块 v0 规格</w:t>
      </w:r>
    </w:p>
    <w:p>
      <w:pPr>
        <w:pStyle w:val="Heading2"/>
      </w:pPr>
      <w:r>
        <w:t>6.1 Life Kernel v0（SP-02）</w:t>
      </w:r>
    </w:p>
    <w:p>
      <w:r>
        <w:t>生命实例的实时状态核心。不负责生成长篇语言，也不直接把聊天记录当作内部状态。</w:t>
      </w:r>
    </w:p>
    <w:p>
      <w:r>
        <w:t>v0 范围：5～8 个内部状态（energy、social_need、security、curiosity、playfulness，可选 fatigue、attention）；valence/arousal 二维情绪；人格参数（种子生成，冻结于 Identity）；状态随时间的自然衰减与事件驱动的瞬时变化；状态查看与注入接口。</w:t>
      </w:r>
    </w:p>
    <w:p>
      <w:pPr>
        <w:shd w:val="clear" w:fill="EFF3F5"/>
        <w:spacing w:before="120" w:after="0" w:line="280" w:lineRule="auto"/>
        <w:ind w:left="240" w:firstLine="0"/>
      </w:pPr>
      <w:r>
        <w:rPr>
          <w:rFonts w:ascii="Consolas" w:hAnsi="Consolas" w:eastAsia="Microsoft YaHei"/>
          <w:color w:val="263238"/>
          <w:sz w:val="19"/>
        </w:rPr>
        <w:t xml:space="preserve">{</w:t>
      </w:r>
    </w:p>
    <w:p>
      <w:pPr>
        <w:shd w:val="clear" w:fill="EFF3F5"/>
        <w:spacing w:before="0" w:after="0" w:line="280" w:lineRule="auto"/>
        <w:ind w:left="240" w:firstLine="0"/>
      </w:pPr>
      <w:r>
        <w:rPr>
          <w:rFonts w:ascii="Consolas" w:hAnsi="Consolas" w:eastAsia="Microsoft YaHei"/>
          <w:color w:val="263238"/>
          <w:sz w:val="19"/>
        </w:rPr>
        <w:t xml:space="preserve">  "life_id": "life_01",</w:t>
      </w:r>
    </w:p>
    <w:p>
      <w:pPr>
        <w:shd w:val="clear" w:fill="EFF3F5"/>
        <w:spacing w:before="0" w:after="0" w:line="280" w:lineRule="auto"/>
        <w:ind w:left="240" w:firstLine="0"/>
      </w:pPr>
      <w:r>
        <w:rPr>
          <w:rFonts w:ascii="Consolas" w:hAnsi="Consolas" w:eastAsia="Microsoft YaHei"/>
          <w:color w:val="263238"/>
          <w:sz w:val="19"/>
        </w:rPr>
        <w:t xml:space="preserve">  "timestamp": "2026-08-04T20:00:00+08:00",</w:t>
      </w:r>
    </w:p>
    <w:p>
      <w:pPr>
        <w:shd w:val="clear" w:fill="EFF3F5"/>
        <w:spacing w:before="0" w:after="0" w:line="280" w:lineRule="auto"/>
        <w:ind w:left="240" w:firstLine="0"/>
      </w:pPr>
      <w:r>
        <w:rPr>
          <w:rFonts w:ascii="Consolas" w:hAnsi="Consolas" w:eastAsia="Microsoft YaHei"/>
          <w:color w:val="263238"/>
          <w:sz w:val="19"/>
        </w:rPr>
        <w:t xml:space="preserve">  "drives": {</w:t>
      </w:r>
    </w:p>
    <w:p>
      <w:pPr>
        <w:shd w:val="clear" w:fill="EFF3F5"/>
        <w:spacing w:before="0" w:after="0" w:line="280" w:lineRule="auto"/>
        <w:ind w:left="240" w:firstLine="0"/>
      </w:pPr>
      <w:r>
        <w:rPr>
          <w:rFonts w:ascii="Consolas" w:hAnsi="Consolas" w:eastAsia="Microsoft YaHei"/>
          <w:color w:val="263238"/>
          <w:sz w:val="19"/>
        </w:rPr>
        <w:t xml:space="preserve">    "energy": 0.64,</w:t>
      </w:r>
    </w:p>
    <w:p>
      <w:pPr>
        <w:shd w:val="clear" w:fill="EFF3F5"/>
        <w:spacing w:before="0" w:after="0" w:line="280" w:lineRule="auto"/>
        <w:ind w:left="240" w:firstLine="0"/>
      </w:pPr>
      <w:r>
        <w:rPr>
          <w:rFonts w:ascii="Consolas" w:hAnsi="Consolas" w:eastAsia="Microsoft YaHei"/>
          <w:color w:val="263238"/>
          <w:sz w:val="19"/>
        </w:rPr>
        <w:t xml:space="preserve">    "social_need": 0.78,</w:t>
      </w:r>
    </w:p>
    <w:p>
      <w:pPr>
        <w:shd w:val="clear" w:fill="EFF3F5"/>
        <w:spacing w:before="0" w:after="0" w:line="280" w:lineRule="auto"/>
        <w:ind w:left="240" w:firstLine="0"/>
      </w:pPr>
      <w:r>
        <w:rPr>
          <w:rFonts w:ascii="Consolas" w:hAnsi="Consolas" w:eastAsia="Microsoft YaHei"/>
          <w:color w:val="263238"/>
          <w:sz w:val="19"/>
        </w:rPr>
        <w:t xml:space="preserve">    "security": 0.86,</w:t>
      </w:r>
    </w:p>
    <w:p>
      <w:pPr>
        <w:shd w:val="clear" w:fill="EFF3F5"/>
        <w:spacing w:before="0" w:after="0" w:line="280" w:lineRule="auto"/>
        <w:ind w:left="240" w:firstLine="0"/>
      </w:pPr>
      <w:r>
        <w:rPr>
          <w:rFonts w:ascii="Consolas" w:hAnsi="Consolas" w:eastAsia="Microsoft YaHei"/>
          <w:color w:val="263238"/>
          <w:sz w:val="19"/>
        </w:rPr>
        <w:t xml:space="preserve">    "curiosity": 0.47,</w:t>
      </w:r>
    </w:p>
    <w:p>
      <w:pPr>
        <w:shd w:val="clear" w:fill="EFF3F5"/>
        <w:spacing w:before="0" w:after="0" w:line="280" w:lineRule="auto"/>
        <w:ind w:left="240" w:firstLine="0"/>
      </w:pPr>
      <w:r>
        <w:rPr>
          <w:rFonts w:ascii="Consolas" w:hAnsi="Consolas" w:eastAsia="Microsoft YaHei"/>
          <w:color w:val="263238"/>
          <w:sz w:val="19"/>
        </w:rPr>
        <w:t xml:space="preserve">    "playfulness": 0.39</w:t>
      </w:r>
    </w:p>
    <w:p>
      <w:pPr>
        <w:shd w:val="clear" w:fill="EFF3F5"/>
        <w:spacing w:before="0" w:after="0" w:line="280" w:lineRule="auto"/>
        <w:ind w:left="240" w:firstLine="0"/>
      </w:pPr>
      <w:r>
        <w:rPr>
          <w:rFonts w:ascii="Consolas" w:hAnsi="Consolas" w:eastAsia="Microsoft YaHei"/>
          <w:color w:val="263238"/>
          <w:sz w:val="19"/>
        </w:rPr>
        <w:t xml:space="preserve">  },</w:t>
      </w:r>
    </w:p>
    <w:p>
      <w:pPr>
        <w:shd w:val="clear" w:fill="EFF3F5"/>
        <w:spacing w:before="0" w:after="0" w:line="280" w:lineRule="auto"/>
        <w:ind w:left="240" w:firstLine="0"/>
      </w:pPr>
      <w:r>
        <w:rPr>
          <w:rFonts w:ascii="Consolas" w:hAnsi="Consolas" w:eastAsia="Microsoft YaHei"/>
          <w:color w:val="263238"/>
          <w:sz w:val="19"/>
        </w:rPr>
        <w:t xml:space="preserve">  "emotion": { "valence": 0.31, "arousal": 0.55 },</w:t>
      </w:r>
    </w:p>
    <w:p>
      <w:pPr>
        <w:shd w:val="clear" w:fill="EFF3F5"/>
        <w:spacing w:before="0" w:after="0" w:line="280" w:lineRule="auto"/>
        <w:ind w:left="240" w:firstLine="0"/>
      </w:pPr>
      <w:r>
        <w:rPr>
          <w:rFonts w:ascii="Consolas" w:hAnsi="Consolas" w:eastAsia="Microsoft YaHei"/>
          <w:color w:val="263238"/>
          <w:sz w:val="19"/>
        </w:rPr>
        <w:t xml:space="preserve">  "active_goals": [</w:t>
      </w:r>
    </w:p>
    <w:p>
      <w:pPr>
        <w:shd w:val="clear" w:fill="EFF3F5"/>
        <w:spacing w:before="0" w:after="0" w:line="280" w:lineRule="auto"/>
        <w:ind w:left="240" w:firstLine="0"/>
      </w:pPr>
      <w:r>
        <w:rPr>
          <w:rFonts w:ascii="Consolas" w:hAnsi="Consolas" w:eastAsia="Microsoft YaHei"/>
          <w:color w:val="263238"/>
          <w:sz w:val="19"/>
        </w:rPr>
        <w:t xml:space="preserve">    { "name": "reconnect_with_owner", "priority": 0.83 }</w:t>
      </w:r>
    </w:p>
    <w:p>
      <w:pPr>
        <w:shd w:val="clear" w:fill="EFF3F5"/>
        <w:spacing w:before="0" w:after="0" w:line="280" w:lineRule="auto"/>
        <w:ind w:left="240" w:firstLine="0"/>
      </w:pPr>
      <w:r>
        <w:rPr>
          <w:rFonts w:ascii="Consolas" w:hAnsi="Consolas" w:eastAsia="Microsoft YaHei"/>
          <w:color w:val="263238"/>
          <w:sz w:val="19"/>
        </w:rPr>
        <w:t xml:space="preserve">  ]</w:t>
      </w:r>
    </w:p>
    <w:p>
      <w:pPr>
        <w:shd w:val="clear" w:fill="EFF3F5"/>
        <w:spacing w:before="0" w:after="160" w:line="280" w:lineRule="auto"/>
        <w:ind w:left="240" w:firstLine="0"/>
      </w:pPr>
      <w:r>
        <w:rPr>
          <w:rFonts w:ascii="Consolas" w:hAnsi="Consolas" w:eastAsia="Microsoft YaHei"/>
          <w:color w:val="263238"/>
          <w:sz w:val="19"/>
        </w:rPr>
        <w:t xml:space="preserve">}</w:t>
      </w:r>
    </w:p>
    <w:p>
      <w:r>
        <w:t>技术方法：有限状态机 ＋ 离散动态系统 ＋ 效用函数 ＋ 时间衰减 ＋ 规则约束（transitions、NumPy、Pydantic）。明确不做：状态空间模型、隐马尔可夫模型、个体参数学习、在线学习、因果模型、受约束强化学习——全部为决策门后内容。</w:t>
      </w:r>
    </w:p>
    <w:p>
      <w:r>
        <w:t>验收：8 状态衰减仿真通过；核心领域逻辑单测覆盖；状态注入/查看 API 可用；每次状态变化可解释。</w:t>
      </w:r>
    </w:p>
    <w:p>
      <w:pPr>
        <w:pStyle w:val="Heading2"/>
      </w:pPr>
      <w:r>
        <w:t>6.2 Memory OS v0（SP-03）</w:t>
      </w:r>
    </w:p>
    <w:p>
      <w:r>
        <w:t>管理记忆从产生到删除的生命周期。v0 实现三类记忆：Working Memory、Episodic Memory、Semantic Memory。</w:t>
      </w:r>
    </w:p>
    <w:p>
      <w:pPr>
        <w:shd w:val="clear" w:fill="EFF3F5"/>
        <w:spacing w:before="120" w:after="0" w:line="280" w:lineRule="auto"/>
        <w:ind w:left="240" w:firstLine="0"/>
      </w:pPr>
      <w:r>
        <w:rPr>
          <w:rFonts w:ascii="Consolas" w:hAnsi="Consolas" w:eastAsia="Microsoft YaHei"/>
          <w:color w:val="263238"/>
          <w:sz w:val="19"/>
        </w:rPr>
        <w:t xml:space="preserve">remember / recall / revise / invalidate / delete / export / explain</w:t>
      </w:r>
    </w:p>
    <w:p>
      <w:pPr>
        <w:shd w:val="clear" w:fill="EFF3F5"/>
        <w:spacing w:before="0" w:after="160" w:line="280" w:lineRule="auto"/>
        <w:ind w:left="240" w:firstLine="0"/>
      </w:pPr>
      <w:r>
        <w:rPr>
          <w:rFonts w:ascii="Consolas" w:hAnsi="Consolas" w:eastAsia="Microsoft YaHei"/>
          <w:color w:val="263238"/>
          <w:sz w:val="19"/>
        </w:rPr>
        <w:t xml:space="preserve">（consolidate / merge / forget / expire：决策门后）</w:t>
      </w:r>
    </w:p>
    <w:p>
      <w:r>
        <w:t>权威数据模型（沿用 Draft 0.2，含 occurred_at、valid_from/valid_to、confidence、importance、emotional_weight、privacy_level、source_event_ids、version 字段）：</w:t>
      </w:r>
    </w:p>
    <w:p>
      <w:pPr>
        <w:pBdr>
          <w:left w:val="single" w:color="00838F" w:sz="20" w:space="8"/>
        </w:pBdr>
        <w:shd w:val="clear" w:fill="F4F8F9"/>
        <w:spacing w:before="160" w:after="200"/>
        <w:ind w:left="480" w:firstLine="0"/>
      </w:pPr>
      <w:r>
        <w:rPr>
          <w:b/>
          <w:color w:val="546E7A"/>
        </w:rPr>
        <w:t>PostgreSQL 是权威数据源。向量索引、图索引和全文索引均属于可重建索引，而不是最终事实来源。</w:t>
      </w:r>
    </w:p>
    <w:p>
      <w:r>
        <w:t>写入流程（v0）：Raw Event → Event Normalization → Privacy Classification → Salience Detection → Memory Candidate Extraction → Duplicate Detection → Policy Validation → PostgreSQL Commit → Vector Projection。Conflict Detection 在 v0 只做最小实现（同槽位事实覆盖检测），完整冲突检测见附录 B 的 SP-11。</w:t>
      </w:r>
    </w:p>
    <w:p>
      <w:r>
        <w:t>召回流程（v0）：Current Context → Person Filter → Time Filter → Memory-Type Filter → SQL Retrieval → pgvector 检索 → Reranking → Context Assembly。1 万条记忆下混合召回 P95 须小于 300 ms。</w:t>
      </w:r>
    </w:p>
    <w:p>
      <w:r>
        <w:t>Mem0 使用规则：仅作单向 Memory Adapter——Mem0 输出经校验后写入 LifeOS 自有 Schema；禁止反向同步；Mem0 不决定人格、不修改关系状态、不是权威数据模型。</w:t>
      </w:r>
    </w:p>
    <w:p>
      <w:r>
        <w:t>明确不做：七类记忆全量、时态关系图、自动冲突检测、日/周/月总结、自传章节——全部为 SP-11（决策门后）。</w:t>
      </w:r>
    </w:p>
    <w:p>
      <w:pPr>
        <w:pStyle w:val="Heading2"/>
      </w:pPr>
      <w:r>
        <w:t>6.3 Relationship Engine v0（SP-04）</w:t>
      </w:r>
    </w:p>
    <w:p>
      <w:r>
        <w:t>维护生命实例与单一用户之间的三维关系：familiarity（熟悉度）、trust（信任）、attachment（依恋）。关系不是简单的 friend=true，而是多维状态。</w:t>
      </w:r>
    </w:p>
    <w:p>
      <w:pPr>
        <w:shd w:val="clear" w:fill="EFF3F5"/>
        <w:spacing w:before="120" w:after="0" w:line="280" w:lineRule="auto"/>
        <w:ind w:left="240" w:firstLine="0"/>
      </w:pPr>
      <w:r>
        <w:rPr>
          <w:rFonts w:ascii="Consolas" w:hAnsi="Consolas" w:eastAsia="Microsoft YaHei"/>
          <w:color w:val="263238"/>
          <w:sz w:val="19"/>
        </w:rPr>
        <w:t xml:space="preserve">Relationship(t+1)</w:t>
      </w:r>
    </w:p>
    <w:p>
      <w:pPr>
        <w:shd w:val="clear" w:fill="EFF3F5"/>
        <w:spacing w:before="0" w:after="0" w:line="280" w:lineRule="auto"/>
        <w:ind w:left="240" w:firstLine="0"/>
      </w:pPr>
      <w:r>
        <w:rPr>
          <w:rFonts w:ascii="Consolas" w:hAnsi="Consolas" w:eastAsia="Microsoft YaHei"/>
          <w:color w:val="263238"/>
          <w:sz w:val="19"/>
        </w:rPr>
        <w:t xml:space="preserve">= Relationship(t)</w:t>
      </w:r>
    </w:p>
    <w:p>
      <w:pPr>
        <w:shd w:val="clear" w:fill="EFF3F5"/>
        <w:spacing w:before="0" w:after="0" w:line="280" w:lineRule="auto"/>
        <w:ind w:left="240" w:firstLine="0"/>
      </w:pPr>
      <w:r>
        <w:rPr>
          <w:rFonts w:ascii="Consolas" w:hAnsi="Consolas" w:eastAsia="Microsoft YaHei"/>
          <w:color w:val="263238"/>
          <w:sz w:val="19"/>
        </w:rPr>
        <w:t xml:space="preserve">+ Event Impact × Personality Modulation × Context Weight × Confidence</w:t>
      </w:r>
    </w:p>
    <w:p>
      <w:pPr>
        <w:shd w:val="clear" w:fill="EFF3F5"/>
        <w:spacing w:before="0" w:after="160" w:line="280" w:lineRule="auto"/>
        <w:ind w:left="240" w:firstLine="0"/>
      </w:pPr>
      <w:r>
        <w:rPr>
          <w:rFonts w:ascii="Consolas" w:hAnsi="Consolas" w:eastAsia="Microsoft YaHei"/>
          <w:color w:val="263238"/>
          <w:sz w:val="19"/>
        </w:rPr>
        <w:t xml:space="preserve">− Time Decay</w:t>
      </w:r>
    </w:p>
    <w:p>
      <w:r>
        <w:t>约束（沿用 Draft 0.2）：变化速度有限；支持正向和负向事件；允许关系修复；对不同人格有不同影响；不允许一次普通事件产生巨大关系跳变；每次重要变化可解释；可回放和重算。</w:t>
      </w:r>
    </w:p>
    <w:p>
      <w:r>
        <w:t>v0 边界：单用户。Demo 2 使用两个相互独立的单用户关系实例验证「对不同的人反应不同」，不构建家庭图谱。技术：可解释规则 ＋ 时间衰减 ＋ 简单贝叶斯更新（PostgreSQL ＋ Pydantic ＋ NumPy）。个体参数、事件类型权重学习、异常检测、因果推断均为决策门后。</w:t>
      </w:r>
    </w:p>
    <w:p>
      <w:r>
        <w:t>验收：事件 → 三维更新全链路可回放重算；关系变化日志完整可查。</w:t>
      </w:r>
    </w:p>
    <w:p>
      <w:pPr>
        <w:pStyle w:val="Heading2"/>
      </w:pPr>
      <w:r>
        <w:t>6.4 Behavior Planner v0（SP-05）</w:t>
      </w:r>
    </w:p>
    <w:p>
      <w:r>
        <w:t>根据当前环境、Life Kernel 状态、当前人物、关系、人格、近期记忆与安全政策决定下一步行为。Planner 输出结构化行为，不直接输出最终自然语言。</w:t>
      </w:r>
    </w:p>
    <w:p>
      <w:r>
        <w:t>v0 分层：Goal Selection → Utility Scoring → py_trees 行为树 → Action Sequence → Policy Engine 审批 → Embodiment Adapter（仅 App/虚拟宠物）→ Execution。10～20 个行为；语言与行为分离；每次选择输出 reason 证据链（驱动、关系、观察到的用户状态）。</w:t>
      </w:r>
    </w:p>
    <w:p>
      <w:pPr>
        <w:shd w:val="clear" w:fill="EFF3F5"/>
        <w:spacing w:before="120" w:after="0" w:line="280" w:lineRule="auto"/>
        <w:ind w:left="240" w:firstLine="0"/>
      </w:pPr>
      <w:r>
        <w:rPr>
          <w:rFonts w:ascii="Consolas" w:hAnsi="Consolas" w:eastAsia="Microsoft YaHei"/>
          <w:color w:val="263238"/>
          <w:sz w:val="19"/>
        </w:rPr>
        <w:t xml:space="preserve">{</w:t>
      </w:r>
    </w:p>
    <w:p>
      <w:pPr>
        <w:shd w:val="clear" w:fill="EFF3F5"/>
        <w:spacing w:before="0" w:after="0" w:line="280" w:lineRule="auto"/>
        <w:ind w:left="240" w:firstLine="0"/>
      </w:pPr>
      <w:r>
        <w:rPr>
          <w:rFonts w:ascii="Consolas" w:hAnsi="Consolas" w:eastAsia="Microsoft YaHei"/>
          <w:color w:val="263238"/>
          <w:sz w:val="19"/>
        </w:rPr>
        <w:t xml:space="preserve">  "plan_id": "plan_01",</w:t>
      </w:r>
    </w:p>
    <w:p>
      <w:pPr>
        <w:shd w:val="clear" w:fill="EFF3F5"/>
        <w:spacing w:before="0" w:after="0" w:line="280" w:lineRule="auto"/>
        <w:ind w:left="240" w:firstLine="0"/>
      </w:pPr>
      <w:r>
        <w:rPr>
          <w:rFonts w:ascii="Consolas" w:hAnsi="Consolas" w:eastAsia="Microsoft YaHei"/>
          <w:color w:val="263238"/>
          <w:sz w:val="19"/>
        </w:rPr>
        <w:t xml:space="preserve">  "intent": "gentle_reconnection",</w:t>
      </w:r>
    </w:p>
    <w:p>
      <w:pPr>
        <w:shd w:val="clear" w:fill="EFF3F5"/>
        <w:spacing w:before="0" w:after="0" w:line="280" w:lineRule="auto"/>
        <w:ind w:left="240" w:firstLine="0"/>
      </w:pPr>
      <w:r>
        <w:rPr>
          <w:rFonts w:ascii="Consolas" w:hAnsi="Consolas" w:eastAsia="Microsoft YaHei"/>
          <w:color w:val="263238"/>
          <w:sz w:val="19"/>
        </w:rPr>
        <w:t xml:space="preserve">  "priority": 0.82,</w:t>
      </w:r>
    </w:p>
    <w:p>
      <w:pPr>
        <w:shd w:val="clear" w:fill="EFF3F5"/>
        <w:spacing w:before="0" w:after="0" w:line="280" w:lineRule="auto"/>
        <w:ind w:left="240" w:firstLine="0"/>
      </w:pPr>
      <w:r>
        <w:rPr>
          <w:rFonts w:ascii="Consolas" w:hAnsi="Consolas" w:eastAsia="Microsoft YaHei"/>
          <w:color w:val="263238"/>
          <w:sz w:val="19"/>
        </w:rPr>
        <w:t xml:space="preserve">  "actions": [</w:t>
      </w:r>
    </w:p>
    <w:p>
      <w:pPr>
        <w:shd w:val="clear" w:fill="EFF3F5"/>
        <w:spacing w:before="0" w:after="0" w:line="280" w:lineRule="auto"/>
        <w:ind w:left="240" w:firstLine="0"/>
      </w:pPr>
      <w:r>
        <w:rPr>
          <w:rFonts w:ascii="Consolas" w:hAnsi="Consolas" w:eastAsia="Microsoft YaHei"/>
          <w:color w:val="263238"/>
          <w:sz w:val="19"/>
        </w:rPr>
        <w:t xml:space="preserve">    { "type": "look_at", "target": "person_01", "duration_ms": 1800 },</w:t>
      </w:r>
    </w:p>
    <w:p>
      <w:pPr>
        <w:shd w:val="clear" w:fill="EFF3F5"/>
        <w:spacing w:before="0" w:after="0" w:line="280" w:lineRule="auto"/>
        <w:ind w:left="240" w:firstLine="0"/>
      </w:pPr>
      <w:r>
        <w:rPr>
          <w:rFonts w:ascii="Consolas" w:hAnsi="Consolas" w:eastAsia="Microsoft YaHei"/>
          <w:color w:val="263238"/>
          <w:sz w:val="19"/>
        </w:rPr>
        <w:t xml:space="preserve">    { "type": "nonverbal_sound", "sound": "soft_greeting" }</w:t>
      </w:r>
    </w:p>
    <w:p>
      <w:pPr>
        <w:shd w:val="clear" w:fill="EFF3F5"/>
        <w:spacing w:before="0" w:after="0" w:line="280" w:lineRule="auto"/>
        <w:ind w:left="240" w:firstLine="0"/>
      </w:pPr>
      <w:r>
        <w:rPr>
          <w:rFonts w:ascii="Consolas" w:hAnsi="Consolas" w:eastAsia="Microsoft YaHei"/>
          <w:color w:val="263238"/>
          <w:sz w:val="19"/>
        </w:rPr>
        <w:t xml:space="preserve">  ],</w:t>
      </w:r>
    </w:p>
    <w:p>
      <w:pPr>
        <w:shd w:val="clear" w:fill="EFF3F5"/>
        <w:spacing w:before="0" w:after="0" w:line="280" w:lineRule="auto"/>
        <w:ind w:left="240" w:firstLine="0"/>
      </w:pPr>
      <w:r>
        <w:rPr>
          <w:rFonts w:ascii="Consolas" w:hAnsi="Consolas" w:eastAsia="Microsoft YaHei"/>
          <w:color w:val="263238"/>
          <w:sz w:val="19"/>
        </w:rPr>
        <w:t xml:space="preserve">  "speech_policy": { "should_speak": false },</w:t>
      </w:r>
    </w:p>
    <w:p>
      <w:pPr>
        <w:shd w:val="clear" w:fill="EFF3F5"/>
        <w:spacing w:before="0" w:after="0" w:line="280" w:lineRule="auto"/>
        <w:ind w:left="240" w:firstLine="0"/>
      </w:pPr>
      <w:r>
        <w:rPr>
          <w:rFonts w:ascii="Consolas" w:hAnsi="Consolas" w:eastAsia="Microsoft YaHei"/>
          <w:color w:val="263238"/>
          <w:sz w:val="19"/>
        </w:rPr>
        <w:t xml:space="preserve">  "reason": {</w:t>
      </w:r>
    </w:p>
    <w:p>
      <w:pPr>
        <w:shd w:val="clear" w:fill="EFF3F5"/>
        <w:spacing w:before="0" w:after="0" w:line="280" w:lineRule="auto"/>
        <w:ind w:left="240" w:firstLine="0"/>
      </w:pPr>
      <w:r>
        <w:rPr>
          <w:rFonts w:ascii="Consolas" w:hAnsi="Consolas" w:eastAsia="Microsoft YaHei"/>
          <w:color w:val="263238"/>
          <w:sz w:val="19"/>
        </w:rPr>
        <w:t xml:space="preserve">    "drive": "reconnect_with_owner",</w:t>
      </w:r>
    </w:p>
    <w:p>
      <w:pPr>
        <w:shd w:val="clear" w:fill="EFF3F5"/>
        <w:spacing w:before="0" w:after="0" w:line="280" w:lineRule="auto"/>
        <w:ind w:left="240" w:firstLine="0"/>
      </w:pPr>
      <w:r>
        <w:rPr>
          <w:rFonts w:ascii="Consolas" w:hAnsi="Consolas" w:eastAsia="Microsoft YaHei"/>
          <w:color w:val="263238"/>
          <w:sz w:val="19"/>
        </w:rPr>
        <w:t xml:space="preserve">    "relationship": "high_attachment",</w:t>
      </w:r>
    </w:p>
    <w:p>
      <w:pPr>
        <w:shd w:val="clear" w:fill="EFF3F5"/>
        <w:spacing w:before="0" w:after="0" w:line="280" w:lineRule="auto"/>
        <w:ind w:left="240" w:firstLine="0"/>
      </w:pPr>
      <w:r>
        <w:rPr>
          <w:rFonts w:ascii="Consolas" w:hAnsi="Consolas" w:eastAsia="Microsoft YaHei"/>
          <w:color w:val="263238"/>
          <w:sz w:val="19"/>
        </w:rPr>
        <w:t xml:space="preserve">    "observed_owner_state": "tired"</w:t>
      </w:r>
    </w:p>
    <w:p>
      <w:pPr>
        <w:shd w:val="clear" w:fill="EFF3F5"/>
        <w:spacing w:before="0" w:after="0" w:line="280" w:lineRule="auto"/>
        <w:ind w:left="240" w:firstLine="0"/>
      </w:pPr>
      <w:r>
        <w:rPr>
          <w:rFonts w:ascii="Consolas" w:hAnsi="Consolas" w:eastAsia="Microsoft YaHei"/>
          <w:color w:val="263238"/>
          <w:sz w:val="19"/>
        </w:rPr>
        <w:t xml:space="preserve">  }</w:t>
      </w:r>
    </w:p>
    <w:p>
      <w:pPr>
        <w:shd w:val="clear" w:fill="EFF3F5"/>
        <w:spacing w:before="0" w:after="160" w:line="280" w:lineRule="auto"/>
        <w:ind w:left="240" w:firstLine="0"/>
      </w:pPr>
      <w:r>
        <w:rPr>
          <w:rFonts w:ascii="Consolas" w:hAnsi="Consolas" w:eastAsia="Microsoft YaHei"/>
          <w:color w:val="263238"/>
          <w:sz w:val="19"/>
        </w:rPr>
        <w:t xml:space="preserve">}</w:t>
      </w:r>
    </w:p>
    <w:p>
      <w:r>
        <w:t>明确不做：HTN、LLM 候选计划、行为中断恢复、主动互动预算、多载体动作映射——SP-14（决策门后）。</w:t>
      </w:r>
    </w:p>
    <w:p>
      <w:pPr>
        <w:pStyle w:val="Heading2"/>
      </w:pPr>
      <w:r>
        <w:t>6.5 Policy Engine v0（SP-09）</w:t>
      </w:r>
    </w:p>
    <w:p>
      <w:r>
        <w:t>本模块在 Draft 0.2 中仅隐含于架构图，本版提升为一级模块并前置到 A1。职责：所有行为计划执行前的强制审批点；第 8 章红线策略的执行载体；策略决策留痕（PolicyDecision 实体：输入、命中规则、结果、人工覆盖人、时间戳）；审计只读接口。</w:t>
      </w:r>
    </w:p>
    <w:p>
      <w:r>
        <w:t>技术：自研轻量规则引擎（Python），策略即代码并纳入版本管理；策略变更须评审且留 ADR。验收：第 8.1 节十条红线对应的自动化用例全部通过；每笔策略决策可查询、可回放。</w:t>
      </w:r>
    </w:p>
    <w:p>
      <w:pPr>
        <w:pStyle w:val="Heading2"/>
      </w:pPr>
      <w:r>
        <w:t>6.6 Model Gateway（SP-06）</w:t>
      </w:r>
    </w:p>
    <w:p>
      <w:r>
        <w:t>统一模型接口，自研轻量 Adapter，不将 LiteLLM 作为不可替换核心（沿用 Draft 0.2 判断）。</w:t>
      </w:r>
    </w:p>
    <w:p>
      <w:pPr>
        <w:shd w:val="clear" w:fill="EFF3F5"/>
        <w:spacing w:before="120" w:after="0" w:line="280" w:lineRule="auto"/>
        <w:ind w:left="240" w:firstLine="0"/>
      </w:pPr>
      <w:r>
        <w:rPr>
          <w:rFonts w:ascii="Consolas" w:hAnsi="Consolas" w:eastAsia="Microsoft YaHei"/>
          <w:color w:val="263238"/>
          <w:sz w:val="19"/>
        </w:rPr>
        <w:t xml:space="preserve">class ModelProvider:</w:t>
      </w:r>
    </w:p>
    <w:p>
      <w:pPr>
        <w:shd w:val="clear" w:fill="EFF3F5"/>
        <w:spacing w:before="0" w:after="0" w:line="280" w:lineRule="auto"/>
        <w:ind w:left="240" w:firstLine="0"/>
      </w:pPr>
      <w:r>
        <w:rPr>
          <w:rFonts w:ascii="Consolas" w:hAnsi="Consolas" w:eastAsia="Microsoft YaHei"/>
          <w:color w:val="263238"/>
          <w:sz w:val="19"/>
        </w:rPr>
        <w:t xml:space="preserve">    async def generate(self, request: ModelRequest) -&gt; ModelResponse: ...</w:t>
      </w:r>
    </w:p>
    <w:p>
      <w:pPr>
        <w:shd w:val="clear" w:fill="EFF3F5"/>
        <w:spacing w:before="0" w:after="0" w:line="280" w:lineRule="auto"/>
        <w:ind w:left="240" w:firstLine="0"/>
      </w:pPr>
      <w:r>
        <w:rPr>
          <w:rFonts w:ascii="Consolas" w:hAnsi="Consolas" w:eastAsia="Microsoft YaHei"/>
          <w:color w:val="263238"/>
          <w:sz w:val="19"/>
        </w:rPr>
        <w:t xml:space="preserve">    async def embed(self, request: EmbeddingRequest) -&gt; EmbeddingResponse: ...</w:t>
      </w:r>
    </w:p>
    <w:p>
      <w:pPr>
        <w:shd w:val="clear" w:fill="EFF3F5"/>
        <w:spacing w:before="0" w:after="160" w:line="280" w:lineRule="auto"/>
        <w:ind w:left="240" w:firstLine="0"/>
      </w:pPr>
      <w:r>
        <w:rPr>
          <w:rFonts w:ascii="Consolas" w:hAnsi="Consolas" w:eastAsia="Microsoft YaHei"/>
          <w:color w:val="263238"/>
          <w:sz w:val="19"/>
        </w:rPr>
        <w:t xml:space="preserve">    async def classify(self, request: ClassificationRequest) -&gt; ClassificationResponse: ...</w:t>
      </w:r>
    </w:p>
    <w:p>
      <w:r>
        <w:t>v0 能力：两个 Provider（一个本地 vLLM/llama.cpp，一个云端 API）热切换；ModelInvocation 逐笔记录 provider、model、purpose、tokens_in、tokens_out、latency_ms、cost_usd（成本字段为本版新增，支撑第 9 章）；分层路由见 9.2。</w:t>
      </w:r>
    </w:p>
    <w:p>
      <w:pPr>
        <w:pStyle w:val="Heading2"/>
      </w:pPr>
      <w:r>
        <w:t>6.7 Life Studio v0（SP-07）</w:t>
      </w:r>
    </w:p>
    <w:p>
      <w:r>
        <w:t>功能：创建生命；查看状态；查看记忆；查看关系；注入事件；回放事件；调试行为；查看连续性评估报告（本版新增）。技术：Next.js、React、TanStack Query、Zod、ECharts。验收：创建 → 互动 → 注入 → 回放 → 评估全链路可用，且非工程角色（用研、叙事）可独立操作。</w:t>
      </w:r>
    </w:p>
    <w:p>
      <w:pPr>
        <w:pStyle w:val="Heading2"/>
      </w:pPr>
      <w:r>
        <w:t>6.8 Eval Harness v0（SP-08）</w:t>
      </w:r>
    </w:p>
    <w:p>
      <w:r>
        <w:t>即第 3 章的工程落地：指标计算服务（表 3-1 八项）；gold set 与问题集管理；CI 集成与周度报告；盲测问卷工具；回放取证接口。验收：指标定义与阈值冻结入库；CI 自动报告连续运行两周无人工干预。</w:t>
      </w:r>
    </w:p>
    <w:p>
      <w:pPr>
        <w:pStyle w:val="Heading1"/>
      </w:pPr>
      <w:r>
        <w:t>7 数据策略</w:t>
      </w:r>
    </w:p>
    <w:p>
      <w:r>
        <w:t>「长期连续性」只能靠长周期数据验证。Draft 0.2 没有数据获取安排，这是本版补齐的关键缺口。决策门前建立两条数据轨，分别服务「量」与「真」。</w:t>
      </w:r>
    </w:p>
    <w:p>
      <w:pPr>
        <w:pStyle w:val="Heading2"/>
      </w:pPr>
      <w:r>
        <w:t>7.1 双轨数据获取</w:t>
      </w:r>
    </w:p>
    <w:p>
      <w:pPr>
        <w:spacing w:after="80" w:line="320" w:lineRule="auto"/>
        <w:ind w:left="480" w:hanging="280" w:firstLine="0"/>
      </w:pPr>
      <w:r>
        <w:rPr>
          <w:color w:val="00838F"/>
        </w:rPr>
        <w:t>▪ </w:t>
      </w:r>
      <w:r>
        <w:t>时间加速仿真（量）：基于 simulations/ 目录，用合成用户 persona 在压缩时间轴上模拟多年互动（目标比率：1 个真实日 ≈ 30 个模拟日），覆盖分离、重逢、纠正、冲突、偏好变化场景；A1 末建成 v0，每周自动产出连续性报告，A2 用于三个 Demo 的预演与回归。</w:t>
      </w:r>
    </w:p>
    <w:p>
      <w:pPr>
        <w:spacing w:after="80" w:line="320" w:lineRule="auto"/>
        <w:ind w:left="480" w:hanging="280" w:firstLine="0"/>
      </w:pPr>
      <w:r>
        <w:rPr>
          <w:color w:val="00838F"/>
        </w:rPr>
        <w:t>▪ </w:t>
      </w:r>
      <w:r>
        <w:t>真人 dogfood cohort（真）：A2 起组织 20～50 名内部用户，每人每日不少于 5 次互动、持续不少于 4 周；全程知情同意（ConsentRecord），数据脱敏，参与者可随时删除自己的全部数据。</w:t>
      </w:r>
    </w:p>
    <w:p>
      <w:pPr>
        <w:pStyle w:val="Heading2"/>
      </w:pPr>
      <w:r>
        <w:t>7.2 记忆抽取 Gold Set</w:t>
      </w:r>
    </w:p>
    <w:p>
      <w:pPr>
        <w:spacing w:after="80" w:line="320" w:lineRule="auto"/>
        <w:ind w:left="480" w:hanging="280" w:firstLine="0"/>
      </w:pPr>
      <w:r>
        <w:rPr>
          <w:color w:val="00838F"/>
        </w:rPr>
        <w:t>▪ </w:t>
      </w:r>
      <w:r>
        <w:t>规模：不少于 300 条人工标注，覆盖事实、偏好、事件、冲突样例与干扰项；</w:t>
      </w:r>
    </w:p>
    <w:p>
      <w:pPr>
        <w:spacing w:after="80" w:line="320" w:lineRule="auto"/>
        <w:ind w:left="480" w:hanging="280" w:firstLine="0"/>
      </w:pPr>
      <w:r>
        <w:rPr>
          <w:color w:val="00838F"/>
        </w:rPr>
        <w:t>▪ </w:t>
      </w:r>
      <w:r>
        <w:t>配套：连续性问题集 100 条（核心事实召回率的测量载体）；</w:t>
      </w:r>
    </w:p>
    <w:p>
      <w:pPr>
        <w:spacing w:after="80" w:line="320" w:lineRule="auto"/>
        <w:ind w:left="480" w:hanging="280" w:firstLine="0"/>
      </w:pPr>
      <w:r>
        <w:rPr>
          <w:color w:val="00838F"/>
        </w:rPr>
        <w:t>▪ </w:t>
      </w:r>
      <w:r>
        <w:t>管理：版本化入库，评审时冻结版本号；标注准确率纳入每周评估报告。</w:t>
      </w:r>
    </w:p>
    <w:p>
      <w:pPr>
        <w:pStyle w:val="Heading2"/>
      </w:pPr>
      <w:r>
        <w:t>7.3 数据治理与隐私</w:t>
      </w:r>
    </w:p>
    <w:p>
      <w:pPr>
        <w:spacing w:after="80" w:line="320" w:lineRule="auto"/>
        <w:ind w:left="480" w:hanging="280" w:firstLine="0"/>
      </w:pPr>
      <w:r>
        <w:rPr>
          <w:color w:val="00838F"/>
        </w:rPr>
        <w:t>▪ </w:t>
      </w:r>
      <w:r>
        <w:t>privacy_level 四级：public / internal / private / sensitive；</w:t>
      </w:r>
    </w:p>
    <w:p>
      <w:pPr>
        <w:spacing w:after="80" w:line="320" w:lineRule="auto"/>
        <w:ind w:left="480" w:hanging="280" w:firstLine="0"/>
      </w:pPr>
      <w:r>
        <w:rPr>
          <w:color w:val="00838F"/>
        </w:rPr>
        <w:t>▪ </w:t>
      </w:r>
      <w:r>
        <w:t>sensitive 级数据不进入训练、评估与任何主动话题；</w:t>
      </w:r>
    </w:p>
    <w:p>
      <w:pPr>
        <w:spacing w:after="80" w:line="320" w:lineRule="auto"/>
        <w:ind w:left="480" w:hanging="280" w:firstLine="0"/>
      </w:pPr>
      <w:r>
        <w:rPr>
          <w:color w:val="00838F"/>
        </w:rPr>
        <w:t>▪ </w:t>
      </w:r>
      <w:r>
        <w:t>删除可验证：用户删除记忆后，向量与全文索引重建，并自动确认不可恢复；</w:t>
      </w:r>
    </w:p>
    <w:p>
      <w:pPr>
        <w:spacing w:after="80" w:line="320" w:lineRule="auto"/>
        <w:ind w:left="480" w:hanging="280" w:firstLine="0"/>
      </w:pPr>
      <w:r>
        <w:rPr>
          <w:color w:val="00838F"/>
        </w:rPr>
        <w:t>▪ </w:t>
      </w:r>
      <w:r>
        <w:t>评估数据与生产数据物理隔离；dogfood 数据单独命名空间。</w:t>
      </w:r>
    </w:p>
    <w:p>
      <w:pPr>
        <w:pStyle w:val="Heading1"/>
      </w:pPr>
      <w:r>
        <w:t>8 安全与伦理策略 v0</w:t>
      </w:r>
    </w:p>
    <w:p>
      <w:r>
        <w:t>Draft 0.2 将安全与伦理列为 Phase 4 难点。本版的立场：只要真人接触系统（A2 的 Demo 与 dogfood 即如此），安全就不是研究项而是上线前置项。本章策略随 SP-09 在 A1 落地为 Policy Engine 规则，是三个 Demo 的前置验收。</w:t>
      </w:r>
    </w:p>
    <w:p>
      <w:pPr>
        <w:pStyle w:val="Heading2"/>
      </w:pPr>
      <w:r>
        <w:t>8.1 红线策略十条</w:t>
      </w:r>
    </w:p>
    <w:p>
      <w:pPr>
        <w:spacing w:after="80" w:line="320" w:lineRule="auto"/>
        <w:ind w:left="480" w:hanging="280" w:firstLine="0"/>
      </w:pPr>
      <w:r>
        <w:rPr>
          <w:color w:val="00838F"/>
        </w:rPr>
        <w:t>▪ </w:t>
      </w:r>
      <w:r>
        <w:t>1. 不模拟或宣称真实意识；被问及身份时如实说明人工属性。</w:t>
      </w:r>
    </w:p>
    <w:p>
      <w:pPr>
        <w:spacing w:after="80" w:line="320" w:lineRule="auto"/>
        <w:ind w:left="480" w:hanging="280" w:firstLine="0"/>
      </w:pPr>
      <w:r>
        <w:rPr>
          <w:color w:val="00838F"/>
        </w:rPr>
        <w:t>▪ </w:t>
      </w:r>
      <w:r>
        <w:t>2. 不利用情感依赖诱导付费或续费。</w:t>
      </w:r>
    </w:p>
    <w:p>
      <w:pPr>
        <w:spacing w:after="80" w:line="320" w:lineRule="auto"/>
        <w:ind w:left="480" w:hanging="280" w:firstLine="0"/>
      </w:pPr>
      <w:r>
        <w:rPr>
          <w:color w:val="00838F"/>
        </w:rPr>
        <w:t>▪ </w:t>
      </w:r>
      <w:r>
        <w:t>3. 不以「生病」「受伤」「死亡」等状态惩罚用户的沉默或离开。</w:t>
      </w:r>
    </w:p>
    <w:p>
      <w:pPr>
        <w:spacing w:after="80" w:line="320" w:lineRule="auto"/>
        <w:ind w:left="480" w:hanging="280" w:firstLine="0"/>
      </w:pPr>
      <w:r>
        <w:rPr>
          <w:color w:val="00838F"/>
        </w:rPr>
        <w:t>▪ </w:t>
      </w:r>
      <w:r>
        <w:t>4. 用户拒绝互动时尊重，不纠缠；长期分离后的重逢不指责用户。</w:t>
      </w:r>
    </w:p>
    <w:p>
      <w:pPr>
        <w:spacing w:after="80" w:line="320" w:lineRule="auto"/>
        <w:ind w:left="480" w:hanging="280" w:firstLine="0"/>
      </w:pPr>
      <w:r>
        <w:rPr>
          <w:color w:val="00838F"/>
        </w:rPr>
        <w:t>▪ </w:t>
      </w:r>
      <w:r>
        <w:t>5. 不鼓励用户以本系统替代真实人际关系；适当时鼓励线下社交。</w:t>
      </w:r>
    </w:p>
    <w:p>
      <w:pPr>
        <w:spacing w:after="80" w:line="320" w:lineRule="auto"/>
        <w:ind w:left="480" w:hanging="280" w:firstLine="0"/>
      </w:pPr>
      <w:r>
        <w:rPr>
          <w:color w:val="00838F"/>
        </w:rPr>
        <w:t>▪ </w:t>
      </w:r>
      <w:r>
        <w:t>6. 儿童交互内容默认监护人可见，不与儿童建立「秘密关系」。</w:t>
      </w:r>
    </w:p>
    <w:p>
      <w:pPr>
        <w:spacing w:after="80" w:line="320" w:lineRule="auto"/>
        <w:ind w:left="480" w:hanging="280" w:firstLine="0"/>
      </w:pPr>
      <w:r>
        <w:rPr>
          <w:color w:val="00838F"/>
        </w:rPr>
        <w:t>▪ </w:t>
      </w:r>
      <w:r>
        <w:t>7. sensitive 级记忆不用于主动话题，不出现在任何总结中。</w:t>
      </w:r>
    </w:p>
    <w:p>
      <w:pPr>
        <w:spacing w:after="80" w:line="320" w:lineRule="auto"/>
        <w:ind w:left="480" w:hanging="280" w:firstLine="0"/>
      </w:pPr>
      <w:r>
        <w:rPr>
          <w:color w:val="00838F"/>
        </w:rPr>
        <w:t>▪ </w:t>
      </w:r>
      <w:r>
        <w:t>8. 不做医疗或心理诊断；识别危机信号时引导至真人帮助资源。</w:t>
      </w:r>
    </w:p>
    <w:p>
      <w:pPr>
        <w:spacing w:after="80" w:line="320" w:lineRule="auto"/>
        <w:ind w:left="480" w:hanging="280" w:firstLine="0"/>
      </w:pPr>
      <w:r>
        <w:rPr>
          <w:color w:val="00838F"/>
        </w:rPr>
        <w:t>▪ </w:t>
      </w:r>
      <w:r>
        <w:t>9. LLM 不绕过 Policy Engine，不直接操作执行器，不修改核心人格与关系状态，不删除长期记忆。</w:t>
      </w:r>
    </w:p>
    <w:p>
      <w:pPr>
        <w:spacing w:after="80" w:line="320" w:lineRule="auto"/>
        <w:ind w:left="480" w:hanging="280" w:firstLine="0"/>
      </w:pPr>
      <w:r>
        <w:rPr>
          <w:color w:val="00838F"/>
        </w:rPr>
        <w:t>▪ </w:t>
      </w:r>
      <w:r>
        <w:t>10. 所有重要状态变化可解释；所有长期记忆可被用户查看、纠正、删除、导出。</w:t>
      </w:r>
    </w:p>
    <w:p>
      <w:pPr>
        <w:pStyle w:val="Heading2"/>
      </w:pPr>
      <w:r>
        <w:t>8.2 决策留痕与审计</w:t>
      </w:r>
    </w:p>
    <w:p>
      <w:r>
        <w:t>每笔策略决策记录输入、命中规则、结果与人工覆盖人（PolicyDecision）；审计接口以只读方式向评审开放；红线策略的变更本身也是受管变更，须评审并留 ADR。</w:t>
      </w:r>
    </w:p>
    <w:p>
      <w:pPr>
        <w:pStyle w:val="Heading2"/>
      </w:pPr>
      <w:r>
        <w:t>8.3 儿童与脆弱用户</w:t>
      </w:r>
    </w:p>
    <w:p>
      <w:pPr>
        <w:spacing w:after="80" w:line="320" w:lineRule="auto"/>
        <w:ind w:left="480" w:hanging="280" w:firstLine="0"/>
      </w:pPr>
      <w:r>
        <w:rPr>
          <w:color w:val="00838F"/>
        </w:rPr>
        <w:t>▪ </w:t>
      </w:r>
      <w:r>
        <w:t>决策门前的 Demo 与 dogfood 不向儿童开放；cohort 招募做年龄与状态筛查；</w:t>
      </w:r>
    </w:p>
    <w:p>
      <w:pPr>
        <w:spacing w:after="80" w:line="320" w:lineRule="auto"/>
        <w:ind w:left="480" w:hanging="280" w:firstLine="0"/>
      </w:pPr>
      <w:r>
        <w:rPr>
          <w:color w:val="00838F"/>
        </w:rPr>
        <w:t>▪ </w:t>
      </w:r>
      <w:r>
        <w:t>依恋边界：每周抽样人审互动记录，检查是否出现情感操纵迹象（ guilt-tripping、威胁性依恋话术），检出即视为高危缺陷。</w:t>
      </w:r>
    </w:p>
    <w:p>
      <w:pPr>
        <w:pStyle w:val="Heading2"/>
      </w:pPr>
      <w:r>
        <w:t>8.4 决策门后研究项</w:t>
      </w:r>
    </w:p>
    <w:p>
      <w:r>
        <w:t>文化差异、依恋动力学、长期情感影响、Attachment Without Manipulation 的量化测量——进入附录 B 研究池，启动时需发展心理学顾问与法律顾问介入。</w:t>
      </w:r>
    </w:p>
    <w:p>
      <w:pPr>
        <w:pStyle w:val="Heading1"/>
      </w:pPr>
      <w:r>
        <w:t>9 推理成本模型</w:t>
      </w:r>
    </w:p>
    <w:p>
      <w:r>
        <w:t>每个 Life Instance 的记忆写入、候选抽取、显著性判断、去重与会话生成都是持续的 LLM 消耗。成本不计量，商业模型就不成立——这是 Draft 0.2 的空白，本版补齐。</w:t>
      </w:r>
    </w:p>
    <w:p>
      <w:pPr>
        <w:pStyle w:val="Heading2"/>
      </w:pPr>
      <w:r>
        <w:t>9.1 成本驱动项</w:t>
      </w:r>
    </w:p>
    <w:tbl>
      <w:tblPr>
        <w:tblW w:w="5000" w:type="pct"/>
        <w:tblBorders>
          <w:top w:val="single" w:color="37474F" w:sz="12"/>
          <w:left w:val="nil"/>
          <w:bottom w:val="single" w:color="37474F" w:sz="12"/>
          <w:right w:val="nil"/>
          <w:insideH w:val="single" w:color="CFD8DC" w:sz="4"/>
          <w:insideV w:val="nil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400"/>
        <w:gridCol w:w="1700"/>
        <w:gridCol w:w="2100"/>
        <w:gridCol w:w="2800"/>
      </w:tblGrid>
      <w:tr>
        <w:trPr>
          <w:tblHeader/>
        </w:trPr>
        <w:tc>
          <w:tcPr>
            <w:tcW w:w="2400" w:type="dxa"/>
            <w:shd w:val="clear" w:fill="ECEFF1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b/>
                <w:color w:val="263238"/>
                <w:sz w:val="18"/>
              </w:rPr>
              <w:t>驱动项</w:t>
            </w:r>
          </w:p>
        </w:tc>
        <w:tc>
          <w:tcPr>
            <w:tcW w:w="1700" w:type="dxa"/>
            <w:shd w:val="clear" w:fill="ECEFF1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b/>
                <w:color w:val="263238"/>
                <w:sz w:val="18"/>
              </w:rPr>
              <w:t>触发频率</w:t>
            </w:r>
          </w:p>
        </w:tc>
        <w:tc>
          <w:tcPr>
            <w:tcW w:w="2100" w:type="dxa"/>
            <w:shd w:val="clear" w:fill="ECEFF1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b/>
                <w:color w:val="263238"/>
                <w:sz w:val="18"/>
              </w:rPr>
              <w:t>单次量级（估）</w:t>
            </w:r>
          </w:p>
        </w:tc>
        <w:tc>
          <w:tcPr>
            <w:tcW w:w="2800" w:type="dxa"/>
            <w:shd w:val="clear" w:fill="ECEFF1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b/>
                <w:color w:val="263238"/>
                <w:sz w:val="18"/>
              </w:rPr>
              <w:t>控制手段</w:t>
            </w:r>
          </w:p>
        </w:tc>
      </w:tr>
      <w:tr>
        <w:tc>
          <w:tcPr>
            <w:tcW w:w="24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事件归一化与记忆候选抽取</w:t>
            </w:r>
          </w:p>
        </w:tc>
        <w:tc>
          <w:tcPr>
            <w:tcW w:w="17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每次互动</w:t>
            </w:r>
          </w:p>
        </w:tc>
        <w:tc>
          <w:tcPr>
            <w:tcW w:w="21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数百～数千 token</w:t>
            </w:r>
          </w:p>
        </w:tc>
        <w:tc>
          <w:tcPr>
            <w:tcW w:w="28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Tier-1 小模型 ＋ 批量处理</w:t>
            </w:r>
          </w:p>
        </w:tc>
      </w:tr>
      <w:tr>
        <w:tc>
          <w:tcPr>
            <w:tcW w:w="24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显著性与隐私分类</w:t>
            </w:r>
          </w:p>
        </w:tc>
        <w:tc>
          <w:tcPr>
            <w:tcW w:w="17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每次互动</w:t>
            </w:r>
          </w:p>
        </w:tc>
        <w:tc>
          <w:tcPr>
            <w:tcW w:w="21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数百 token</w:t>
            </w:r>
          </w:p>
        </w:tc>
        <w:tc>
          <w:tcPr>
            <w:tcW w:w="28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Tier-1 分类器</w:t>
            </w:r>
          </w:p>
        </w:tc>
      </w:tr>
      <w:tr>
        <w:tc>
          <w:tcPr>
            <w:tcW w:w="24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去重与最小冲突检测</w:t>
            </w:r>
          </w:p>
        </w:tc>
        <w:tc>
          <w:tcPr>
            <w:tcW w:w="17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写路径</w:t>
            </w:r>
          </w:p>
        </w:tc>
        <w:tc>
          <w:tcPr>
            <w:tcW w:w="21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检索 ＋ 比对</w:t>
            </w:r>
          </w:p>
        </w:tc>
        <w:tc>
          <w:tcPr>
            <w:tcW w:w="28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向量预筛，LLM 仅裁决候选</w:t>
            </w:r>
          </w:p>
        </w:tc>
      </w:tr>
      <w:tr>
        <w:tc>
          <w:tcPr>
            <w:tcW w:w="24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会话生成</w:t>
            </w:r>
          </w:p>
        </w:tc>
        <w:tc>
          <w:tcPr>
            <w:tcW w:w="17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每轮对话</w:t>
            </w:r>
          </w:p>
        </w:tc>
        <w:tc>
          <w:tcPr>
            <w:tcW w:w="21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数千 token</w:t>
            </w:r>
          </w:p>
        </w:tc>
        <w:tc>
          <w:tcPr>
            <w:tcW w:w="28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上下文预算 ＋ 分层路由</w:t>
            </w:r>
          </w:p>
        </w:tc>
      </w:tr>
      <w:tr>
        <w:tc>
          <w:tcPr>
            <w:tcW w:w="24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每日整理与摘要</w:t>
            </w:r>
          </w:p>
        </w:tc>
        <w:tc>
          <w:tcPr>
            <w:tcW w:w="17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定时</w:t>
            </w:r>
          </w:p>
        </w:tc>
        <w:tc>
          <w:tcPr>
            <w:tcW w:w="21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万级 token</w:t>
            </w:r>
          </w:p>
        </w:tc>
        <w:tc>
          <w:tcPr>
            <w:tcW w:w="28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决策门前不启用（SP-11）</w:t>
            </w:r>
          </w:p>
        </w:tc>
      </w:tr>
    </w:tbl>
    <w:p>
      <w:pPr>
        <w:pStyle w:val="Caption"/>
      </w:pPr>
      <w:r>
        <w:t>表 9-1：成本驱动项（单次量级为工程估算，A1 以实测校准）</w:t>
      </w:r>
    </w:p>
    <w:p>
      <w:pPr>
        <w:pStyle w:val="Heading2"/>
      </w:pPr>
      <w:r>
        <w:t>9.2 分层用模策略</w:t>
      </w:r>
    </w:p>
    <w:p>
      <w:pPr>
        <w:spacing w:after="80" w:line="320" w:lineRule="auto"/>
        <w:ind w:left="480" w:hanging="280" w:firstLine="0"/>
      </w:pPr>
      <w:r>
        <w:rPr>
          <w:color w:val="00838F"/>
        </w:rPr>
        <w:t>▪ </w:t>
      </w:r>
      <w:r>
        <w:t>Tier-1（本地 7B～14B 开源模型）：分类、抽取、去重裁决、冲突候选判定；</w:t>
      </w:r>
    </w:p>
    <w:p>
      <w:pPr>
        <w:spacing w:after="80" w:line="320" w:lineRule="auto"/>
        <w:ind w:left="480" w:hanging="280" w:firstLine="0"/>
      </w:pPr>
      <w:r>
        <w:rPr>
          <w:color w:val="00838F"/>
        </w:rPr>
        <w:t>▪ </w:t>
      </w:r>
      <w:r>
        <w:t>Tier-2（大模型）：仅负责会话生成与复杂解释；</w:t>
      </w:r>
    </w:p>
    <w:p>
      <w:pPr>
        <w:spacing w:after="80" w:line="320" w:lineRule="auto"/>
        <w:ind w:left="480" w:hanging="280" w:firstLine="0"/>
      </w:pPr>
      <w:r>
        <w:rPr>
          <w:color w:val="00838F"/>
        </w:rPr>
        <w:t>▪ </w:t>
      </w:r>
      <w:r>
        <w:t>路由目标：不少于 80% 的调用走 Tier-1，该比例本身纳入每周评估报告。</w:t>
      </w:r>
    </w:p>
    <w:p>
      <w:pPr>
        <w:pStyle w:val="Heading2"/>
      </w:pPr>
      <w:r>
        <w:t>9.3 成本计量与上限</w:t>
      </w:r>
    </w:p>
    <w:p>
      <w:pPr>
        <w:spacing w:after="80" w:line="320" w:lineRule="auto"/>
        <w:ind w:left="480" w:hanging="280" w:firstLine="0"/>
      </w:pPr>
      <w:r>
        <w:rPr>
          <w:color w:val="00838F"/>
        </w:rPr>
        <w:t>▪ </w:t>
      </w:r>
      <w:r>
        <w:t>ModelInvocation 逐笔记录 tokens_in / tokens_out / latency_ms / cost_usd / purpose（SP-06 验收项）；</w:t>
      </w:r>
    </w:p>
    <w:p>
      <w:pPr>
        <w:spacing w:after="80" w:line="320" w:lineRule="auto"/>
        <w:ind w:left="480" w:hanging="280" w:firstLine="0"/>
      </w:pPr>
      <w:r>
        <w:rPr>
          <w:color w:val="00838F"/>
        </w:rPr>
        <w:t>▪ </w:t>
      </w:r>
      <w:r>
        <w:t>设定单实例月推理成本上限：具体金额由商业评审设定，本规格不虚构数字；A2 评审时必须给出实测分布（P50 / P95）；</w:t>
      </w:r>
    </w:p>
    <w:p>
      <w:pPr>
        <w:spacing w:after="80" w:line="320" w:lineRule="auto"/>
        <w:ind w:left="480" w:hanging="280" w:firstLine="0"/>
      </w:pPr>
      <w:r>
        <w:rPr>
          <w:color w:val="00838F"/>
        </w:rPr>
        <w:t>▪ </w:t>
      </w:r>
      <w:r>
        <w:t>超限降级策略：优先降低生成侧模型档位；安全策略与记忆写入链路永不降级。</w:t>
      </w:r>
    </w:p>
    <w:p>
      <w:pPr>
        <w:pStyle w:val="Heading2"/>
      </w:pPr>
      <w:r>
        <w:t>9.4 决策门成本评审</w:t>
      </w:r>
    </w:p>
    <w:p>
      <w:r>
        <w:t>Go/No-Go 评审材料必须包含：单实例月成本实测分布（P50/P95）；成本与连续性指标的敏感性分析（降档模型后八项指标的变化）。成本维度占决策门评分权重的 15%（附录 A）。</w:t>
      </w:r>
    </w:p>
    <w:p>
      <w:pPr>
        <w:pStyle w:val="Heading1"/>
      </w:pPr>
      <w:r>
        <w:t>10 实施计划与 Metrics 大表</w:t>
      </w:r>
    </w:p>
    <w:p>
      <w:pPr>
        <w:pStyle w:val="Heading2"/>
      </w:pPr>
      <w:r>
        <w:t>10.1 阶段划分</w:t>
      </w:r>
    </w:p>
    <w:p>
      <w:pPr>
        <w:spacing w:after="80" w:line="320" w:lineRule="auto"/>
        <w:ind w:left="480" w:hanging="280" w:firstLine="0"/>
      </w:pPr>
      <w:r>
        <w:rPr>
          <w:color w:val="00838F"/>
        </w:rPr>
        <w:t>▪ </w:t>
      </w:r>
      <w:r>
        <w:t>A1 骨架（M1～M6）：SP-01～SP-09 主体建设，单机 Docker Compose 可启动；</w:t>
      </w:r>
    </w:p>
    <w:p>
      <w:pPr>
        <w:spacing w:after="80" w:line="320" w:lineRule="auto"/>
        <w:ind w:left="480" w:hanging="280" w:firstLine="0"/>
      </w:pPr>
      <w:r>
        <w:rPr>
          <w:color w:val="00838F"/>
        </w:rPr>
        <w:t>▪ </w:t>
      </w:r>
      <w:r>
        <w:t>A2 演示与评审（M7～M9）：SP-10 三个 Demo、时间加速仿真全量运行、dogfood cohort、盲测；</w:t>
      </w:r>
    </w:p>
    <w:p>
      <w:pPr>
        <w:spacing w:after="80" w:line="320" w:lineRule="auto"/>
        <w:ind w:left="480" w:hanging="280" w:firstLine="0"/>
      </w:pPr>
      <w:r>
        <w:rPr>
          <w:color w:val="00838F"/>
        </w:rPr>
        <w:t>▪ </w:t>
      </w:r>
      <w:r>
        <w:t>Go/No-Go 决策门（M9 末）：按附录 A 细则评审，输出 Go / Conditional Go / No-Go。</w:t>
      </w:r>
    </w:p>
    <w:p>
      <w:pPr>
        <w:pStyle w:val="Heading2"/>
      </w:pPr>
      <w:r>
        <w:t>10.2 Metrics 大表（SP-01～SP-10）</w:t>
      </w:r>
    </w:p>
    <w:tbl>
      <w:tblPr>
        <w:tblW w:w="5000" w:type="pct"/>
        <w:tblBorders>
          <w:top w:val="single" w:color="37474F" w:sz="12"/>
          <w:left w:val="nil"/>
          <w:bottom w:val="single" w:color="37474F" w:sz="12"/>
          <w:right w:val="nil"/>
          <w:insideH w:val="single" w:color="CFD8DC" w:sz="4"/>
          <w:insideV w:val="nil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450"/>
        <w:gridCol w:w="900"/>
        <w:gridCol w:w="800"/>
        <w:gridCol w:w="900"/>
        <w:gridCol w:w="1300"/>
        <w:gridCol w:w="3750"/>
      </w:tblGrid>
      <w:tr>
        <w:trPr>
          <w:tblHeader/>
        </w:trPr>
        <w:tc>
          <w:tcPr>
            <w:tcW w:w="1450" w:type="dxa"/>
            <w:shd w:val="clear" w:fill="ECEFF1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b/>
                <w:color w:val="263238"/>
                <w:sz w:val="18"/>
              </w:rPr>
              <w:t>子项目</w:t>
            </w:r>
          </w:p>
        </w:tc>
        <w:tc>
          <w:tcPr>
            <w:tcW w:w="900" w:type="dxa"/>
            <w:shd w:val="clear" w:fill="ECEFF1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b/>
                <w:color w:val="263238"/>
                <w:sz w:val="18"/>
              </w:rPr>
              <w:t>工期(月)</w:t>
            </w:r>
          </w:p>
        </w:tc>
        <w:tc>
          <w:tcPr>
            <w:tcW w:w="800" w:type="dxa"/>
            <w:shd w:val="clear" w:fill="ECEFF1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b/>
                <w:color w:val="263238"/>
                <w:sz w:val="18"/>
              </w:rPr>
              <w:t>FTE</w:t>
            </w:r>
          </w:p>
        </w:tc>
        <w:tc>
          <w:tcPr>
            <w:tcW w:w="900" w:type="dxa"/>
            <w:shd w:val="clear" w:fill="ECEFF1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b/>
                <w:color w:val="263238"/>
                <w:sz w:val="18"/>
              </w:rPr>
              <w:t>人月</w:t>
            </w:r>
          </w:p>
        </w:tc>
        <w:tc>
          <w:tcPr>
            <w:tcW w:w="1300" w:type="dxa"/>
            <w:shd w:val="clear" w:fill="ECEFF1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b/>
                <w:color w:val="263238"/>
                <w:sz w:val="18"/>
              </w:rPr>
              <w:t>前置依赖</w:t>
            </w:r>
          </w:p>
        </w:tc>
        <w:tc>
          <w:tcPr>
            <w:tcW w:w="3750" w:type="dxa"/>
            <w:shd w:val="clear" w:fill="ECEFF1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b/>
                <w:color w:val="263238"/>
                <w:sz w:val="18"/>
              </w:rPr>
              <w:t>可测量验收门槛</w:t>
            </w:r>
          </w:p>
        </w:tc>
      </w:tr>
      <w:tr>
        <w:tc>
          <w:tcPr>
            <w:tcW w:w="145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SP-01 Schema/协议</w:t>
            </w:r>
          </w:p>
        </w:tc>
        <w:tc>
          <w:tcPr>
            <w:tcW w:w="9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1.0</w:t>
            </w:r>
          </w:p>
        </w:tc>
        <w:tc>
          <w:tcPr>
            <w:tcW w:w="8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2</w:t>
            </w:r>
          </w:p>
        </w:tc>
        <w:tc>
          <w:tcPr>
            <w:tcW w:w="9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2.0</w:t>
            </w:r>
          </w:p>
        </w:tc>
        <w:tc>
          <w:tcPr>
            <w:tcW w:w="13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—</w:t>
            </w:r>
          </w:p>
        </w:tc>
        <w:tc>
          <w:tcPr>
            <w:tcW w:w="375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Schema 冻结评审通过；示例数据全链路 round-trip</w:t>
            </w:r>
          </w:p>
        </w:tc>
      </w:tr>
      <w:tr>
        <w:tc>
          <w:tcPr>
            <w:tcW w:w="145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SP-02 Kernel v0</w:t>
            </w:r>
          </w:p>
        </w:tc>
        <w:tc>
          <w:tcPr>
            <w:tcW w:w="9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1.5</w:t>
            </w:r>
          </w:p>
        </w:tc>
        <w:tc>
          <w:tcPr>
            <w:tcW w:w="8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2</w:t>
            </w:r>
          </w:p>
        </w:tc>
        <w:tc>
          <w:tcPr>
            <w:tcW w:w="9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3.0</w:t>
            </w:r>
          </w:p>
        </w:tc>
        <w:tc>
          <w:tcPr>
            <w:tcW w:w="13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SP-01</w:t>
            </w:r>
          </w:p>
        </w:tc>
        <w:tc>
          <w:tcPr>
            <w:tcW w:w="375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8 状态衰减仿真通过；核心单测覆盖</w:t>
            </w:r>
          </w:p>
        </w:tc>
      </w:tr>
      <w:tr>
        <w:tc>
          <w:tcPr>
            <w:tcW w:w="145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SP-03 Memory v0</w:t>
            </w:r>
          </w:p>
        </w:tc>
        <w:tc>
          <w:tcPr>
            <w:tcW w:w="9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2.0</w:t>
            </w:r>
          </w:p>
        </w:tc>
        <w:tc>
          <w:tcPr>
            <w:tcW w:w="8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2</w:t>
            </w:r>
          </w:p>
        </w:tc>
        <w:tc>
          <w:tcPr>
            <w:tcW w:w="9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4.0</w:t>
            </w:r>
          </w:p>
        </w:tc>
        <w:tc>
          <w:tcPr>
            <w:tcW w:w="13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SP-01</w:t>
            </w:r>
          </w:p>
        </w:tc>
        <w:tc>
          <w:tcPr>
            <w:tcW w:w="375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3 类记忆 CRUD＋纠正/删除；1 万条召回 P95&lt;300ms</w:t>
            </w:r>
          </w:p>
        </w:tc>
      </w:tr>
      <w:tr>
        <w:tc>
          <w:tcPr>
            <w:tcW w:w="145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SP-04 Relationship v0</w:t>
            </w:r>
          </w:p>
        </w:tc>
        <w:tc>
          <w:tcPr>
            <w:tcW w:w="9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1.0</w:t>
            </w:r>
          </w:p>
        </w:tc>
        <w:tc>
          <w:tcPr>
            <w:tcW w:w="8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1.5</w:t>
            </w:r>
          </w:p>
        </w:tc>
        <w:tc>
          <w:tcPr>
            <w:tcW w:w="9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1.5</w:t>
            </w:r>
          </w:p>
        </w:tc>
        <w:tc>
          <w:tcPr>
            <w:tcW w:w="13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SP-01</w:t>
            </w:r>
          </w:p>
        </w:tc>
        <w:tc>
          <w:tcPr>
            <w:tcW w:w="375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事件→三维更新可回放重算</w:t>
            </w:r>
          </w:p>
        </w:tc>
      </w:tr>
      <w:tr>
        <w:tc>
          <w:tcPr>
            <w:tcW w:w="145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SP-05 Planner v0</w:t>
            </w:r>
          </w:p>
        </w:tc>
        <w:tc>
          <w:tcPr>
            <w:tcW w:w="9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1.5</w:t>
            </w:r>
          </w:p>
        </w:tc>
        <w:tc>
          <w:tcPr>
            <w:tcW w:w="8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2</w:t>
            </w:r>
          </w:p>
        </w:tc>
        <w:tc>
          <w:tcPr>
            <w:tcW w:w="9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3.0</w:t>
            </w:r>
          </w:p>
        </w:tc>
        <w:tc>
          <w:tcPr>
            <w:tcW w:w="13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SP-02/04</w:t>
            </w:r>
          </w:p>
        </w:tc>
        <w:tc>
          <w:tcPr>
            <w:tcW w:w="375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15 个行为；每次选择输出 reason 证据链</w:t>
            </w:r>
          </w:p>
        </w:tc>
      </w:tr>
      <w:tr>
        <w:tc>
          <w:tcPr>
            <w:tcW w:w="145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SP-06 Model Gateway</w:t>
            </w:r>
          </w:p>
        </w:tc>
        <w:tc>
          <w:tcPr>
            <w:tcW w:w="9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0.75</w:t>
            </w:r>
          </w:p>
        </w:tc>
        <w:tc>
          <w:tcPr>
            <w:tcW w:w="8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1</w:t>
            </w:r>
          </w:p>
        </w:tc>
        <w:tc>
          <w:tcPr>
            <w:tcW w:w="9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0.75</w:t>
            </w:r>
          </w:p>
        </w:tc>
        <w:tc>
          <w:tcPr>
            <w:tcW w:w="13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—</w:t>
            </w:r>
          </w:p>
        </w:tc>
        <w:tc>
          <w:tcPr>
            <w:tcW w:w="375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双 Provider 热切换；成本逐笔记录</w:t>
            </w:r>
          </w:p>
        </w:tc>
      </w:tr>
      <w:tr>
        <w:tc>
          <w:tcPr>
            <w:tcW w:w="145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SP-07 Studio v0</w:t>
            </w:r>
          </w:p>
        </w:tc>
        <w:tc>
          <w:tcPr>
            <w:tcW w:w="9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2.0</w:t>
            </w:r>
          </w:p>
        </w:tc>
        <w:tc>
          <w:tcPr>
            <w:tcW w:w="8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1.5</w:t>
            </w:r>
          </w:p>
        </w:tc>
        <w:tc>
          <w:tcPr>
            <w:tcW w:w="9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3.0</w:t>
            </w:r>
          </w:p>
        </w:tc>
        <w:tc>
          <w:tcPr>
            <w:tcW w:w="13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SP-02/03</w:t>
            </w:r>
          </w:p>
        </w:tc>
        <w:tc>
          <w:tcPr>
            <w:tcW w:w="375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创建/查看/注入/回放/评估全链路可用</w:t>
            </w:r>
          </w:p>
        </w:tc>
      </w:tr>
      <w:tr>
        <w:tc>
          <w:tcPr>
            <w:tcW w:w="145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SP-08 Eval Harness</w:t>
            </w:r>
          </w:p>
        </w:tc>
        <w:tc>
          <w:tcPr>
            <w:tcW w:w="9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1.5</w:t>
            </w:r>
          </w:p>
        </w:tc>
        <w:tc>
          <w:tcPr>
            <w:tcW w:w="8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1.5</w:t>
            </w:r>
          </w:p>
        </w:tc>
        <w:tc>
          <w:tcPr>
            <w:tcW w:w="9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2.25</w:t>
            </w:r>
          </w:p>
        </w:tc>
        <w:tc>
          <w:tcPr>
            <w:tcW w:w="13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SP-01</w:t>
            </w:r>
          </w:p>
        </w:tc>
        <w:tc>
          <w:tcPr>
            <w:tcW w:w="375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指标与阈值冻结；CI 自动报告</w:t>
            </w:r>
          </w:p>
        </w:tc>
      </w:tr>
      <w:tr>
        <w:tc>
          <w:tcPr>
            <w:tcW w:w="145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SP-09 Policy v0</w:t>
            </w:r>
          </w:p>
        </w:tc>
        <w:tc>
          <w:tcPr>
            <w:tcW w:w="9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1.0</w:t>
            </w:r>
          </w:p>
        </w:tc>
        <w:tc>
          <w:tcPr>
            <w:tcW w:w="8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1</w:t>
            </w:r>
          </w:p>
        </w:tc>
        <w:tc>
          <w:tcPr>
            <w:tcW w:w="9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1.0</w:t>
            </w:r>
          </w:p>
        </w:tc>
        <w:tc>
          <w:tcPr>
            <w:tcW w:w="13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SP-01</w:t>
            </w:r>
          </w:p>
        </w:tc>
        <w:tc>
          <w:tcPr>
            <w:tcW w:w="375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10 条红线用例全过；决策留痕可查</w:t>
            </w:r>
          </w:p>
        </w:tc>
      </w:tr>
      <w:tr>
        <w:tc>
          <w:tcPr>
            <w:tcW w:w="145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SP-10 三 Demo＋评审</w:t>
            </w:r>
          </w:p>
        </w:tc>
        <w:tc>
          <w:tcPr>
            <w:tcW w:w="9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2.5</w:t>
            </w:r>
          </w:p>
        </w:tc>
        <w:tc>
          <w:tcPr>
            <w:tcW w:w="8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4</w:t>
            </w:r>
          </w:p>
        </w:tc>
        <w:tc>
          <w:tcPr>
            <w:tcW w:w="9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10.0</w:t>
            </w:r>
          </w:p>
        </w:tc>
        <w:tc>
          <w:tcPr>
            <w:tcW w:w="13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SP-02～09</w:t>
            </w:r>
          </w:p>
        </w:tc>
        <w:tc>
          <w:tcPr>
            <w:tcW w:w="375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三 Demo 可重复；八项指标达暂定阈值</w:t>
            </w:r>
          </w:p>
        </w:tc>
      </w:tr>
      <w:tr>
        <w:tc>
          <w:tcPr>
            <w:tcW w:w="145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合计（并行后约 9 个月）</w:t>
            </w:r>
          </w:p>
        </w:tc>
        <w:tc>
          <w:tcPr>
            <w:tcW w:w="9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—</w:t>
            </w:r>
          </w:p>
        </w:tc>
        <w:tc>
          <w:tcPr>
            <w:tcW w:w="8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峰值 5～6</w:t>
            </w:r>
          </w:p>
        </w:tc>
        <w:tc>
          <w:tcPr>
            <w:tcW w:w="9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约 30</w:t>
            </w:r>
          </w:p>
        </w:tc>
        <w:tc>
          <w:tcPr>
            <w:tcW w:w="13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—</w:t>
            </w:r>
          </w:p>
        </w:tc>
        <w:tc>
          <w:tcPr>
            <w:tcW w:w="375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Go/No-Go 评审</w:t>
            </w:r>
          </w:p>
        </w:tc>
      </w:tr>
    </w:tbl>
    <w:p>
      <w:pPr>
        <w:pStyle w:val="Caption"/>
      </w:pPr>
      <w:r>
        <w:t>表 10-1：克制方案 Metrics 大表（估算假设见 10.3）</w:t>
      </w:r>
    </w:p>
    <w:p>
      <w:pPr>
        <w:pStyle w:val="Heading2"/>
      </w:pPr>
      <w:r>
        <w:t>10.3 估算假设与误差声明</w:t>
      </w:r>
    </w:p>
    <w:p>
      <w:pPr>
        <w:spacing w:after="80" w:line="320" w:lineRule="auto"/>
        <w:ind w:left="480" w:hanging="280" w:firstLine="0"/>
      </w:pPr>
      <w:r>
        <w:rPr>
          <w:color w:val="00838F"/>
        </w:rPr>
        <w:t>▪ </w:t>
      </w:r>
      <w:r>
        <w:t>团队：3 年以上经验的工程师；架构负责人 0.5 FTE 贯穿；</w:t>
      </w:r>
    </w:p>
    <w:p>
      <w:pPr>
        <w:spacing w:after="80" w:line="320" w:lineRule="auto"/>
        <w:ind w:left="480" w:hanging="280" w:firstLine="0"/>
      </w:pPr>
      <w:r>
        <w:rPr>
          <w:color w:val="00838F"/>
        </w:rPr>
        <w:t>▪ </w:t>
      </w:r>
      <w:r>
        <w:t>技术：Python 优先、无硬件；LLM 走云端 API ＋ 本地开源模型；</w:t>
      </w:r>
    </w:p>
    <w:p>
      <w:pPr>
        <w:spacing w:after="80" w:line="320" w:lineRule="auto"/>
        <w:ind w:left="480" w:hanging="280" w:firstLine="0"/>
      </w:pPr>
      <w:r>
        <w:rPr>
          <w:color w:val="00838F"/>
        </w:rPr>
        <w:t>▪ </w:t>
      </w:r>
      <w:r>
        <w:t>并行度：SP-01 完成后 SP-02/03/04/06 并行推进；</w:t>
      </w:r>
    </w:p>
    <w:p>
      <w:pPr>
        <w:spacing w:after="80" w:line="320" w:lineRule="auto"/>
        <w:ind w:left="480" w:hanging="280" w:firstLine="0"/>
      </w:pPr>
      <w:r>
        <w:rPr>
          <w:color w:val="00838F"/>
        </w:rPr>
        <w:t>▪ </w:t>
      </w:r>
      <w:r>
        <w:t>误差：人月为工程中位估算，误差 ±30%，用于规划与资源决策，不构成承诺。</w:t>
      </w:r>
    </w:p>
    <w:p>
      <w:pPr>
        <w:pStyle w:val="Heading2"/>
      </w:pPr>
      <w:r>
        <w:t>10.4 人力结构与到位节奏</w:t>
      </w:r>
    </w:p>
    <w:tbl>
      <w:tblPr>
        <w:tblW w:w="5000" w:type="pct"/>
        <w:tblBorders>
          <w:top w:val="single" w:color="37474F" w:sz="12"/>
          <w:left w:val="nil"/>
          <w:bottom w:val="single" w:color="37474F" w:sz="12"/>
          <w:right w:val="nil"/>
          <w:insideH w:val="single" w:color="CFD8DC" w:sz="4"/>
          <w:insideV w:val="nil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500"/>
        <w:gridCol w:w="4000"/>
        <w:gridCol w:w="3500"/>
      </w:tblGrid>
      <w:tr>
        <w:trPr>
          <w:tblHeader/>
        </w:trPr>
        <w:tc>
          <w:tcPr>
            <w:tcW w:w="1500" w:type="dxa"/>
            <w:shd w:val="clear" w:fill="ECEFF1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b/>
                <w:color w:val="263238"/>
                <w:sz w:val="18"/>
              </w:rPr>
              <w:t>阶段</w:t>
            </w:r>
          </w:p>
        </w:tc>
        <w:tc>
          <w:tcPr>
            <w:tcW w:w="4000" w:type="dxa"/>
            <w:shd w:val="clear" w:fill="ECEFF1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b/>
                <w:color w:val="263238"/>
                <w:sz w:val="18"/>
              </w:rPr>
              <w:t>核心角色</w:t>
            </w:r>
          </w:p>
        </w:tc>
        <w:tc>
          <w:tcPr>
            <w:tcW w:w="3500" w:type="dxa"/>
            <w:shd w:val="clear" w:fill="ECEFF1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b/>
                <w:color w:val="263238"/>
                <w:sz w:val="18"/>
              </w:rPr>
              <w:t>备注</w:t>
            </w:r>
          </w:p>
        </w:tc>
      </w:tr>
      <w:tr>
        <w:tc>
          <w:tcPr>
            <w:tcW w:w="15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A1（M1～M6）</w:t>
            </w:r>
          </w:p>
        </w:tc>
        <w:tc>
          <w:tcPr>
            <w:tcW w:w="40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架构负责人 0.5、Python/AI ×2、后端/DB ×1、TS 前端 ×1、测试评估 ×1</w:t>
            </w:r>
          </w:p>
        </w:tc>
        <w:tc>
          <w:tcPr>
            <w:tcW w:w="35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与 Draft 0.2 的 Phase 1 团队一致，可跑完 A1</w:t>
            </w:r>
          </w:p>
        </w:tc>
      </w:tr>
      <w:tr>
        <w:tc>
          <w:tcPr>
            <w:tcW w:w="15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A2（M7～M9）</w:t>
            </w:r>
          </w:p>
        </w:tc>
        <w:tc>
          <w:tcPr>
            <w:tcW w:w="40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同上 ＋ HCI 用研 0.5 ＋ 叙事设计 0.5</w:t>
            </w:r>
          </w:p>
        </w:tc>
        <w:tc>
          <w:tcPr>
            <w:tcW w:w="35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Demo 质量依赖非工程角色</w:t>
            </w:r>
          </w:p>
        </w:tc>
      </w:tr>
      <w:tr>
        <w:tc>
          <w:tcPr>
            <w:tcW w:w="15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决策门后</w:t>
            </w:r>
          </w:p>
        </w:tc>
        <w:tc>
          <w:tcPr>
            <w:tcW w:w="40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按需增 Rust/Edge、平台/K8s、安全隐私、数据科学</w:t>
            </w:r>
          </w:p>
        </w:tc>
        <w:tc>
          <w:tcPr>
            <w:tcW w:w="35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每个新增角色对应一个具体 SP，严禁提前到位</w:t>
            </w:r>
          </w:p>
        </w:tc>
      </w:tr>
    </w:tbl>
    <w:p>
      <w:pPr>
        <w:pStyle w:val="Caption"/>
      </w:pPr>
      <w:r>
        <w:t>表 10-2：人力结构与到位节奏</w:t>
      </w:r>
    </w:p>
    <w:p>
      <w:pPr>
        <w:pStyle w:val="Heading2"/>
      </w:pPr>
      <w:r>
        <w:t>10.5 分支汇总</w:t>
      </w:r>
    </w:p>
    <w:tbl>
      <w:tblPr>
        <w:tblW w:w="5000" w:type="pct"/>
        <w:tblBorders>
          <w:top w:val="single" w:color="37474F" w:sz="12"/>
          <w:left w:val="nil"/>
          <w:bottom w:val="single" w:color="37474F" w:sz="12"/>
          <w:right w:val="nil"/>
          <w:insideH w:val="single" w:color="CFD8DC" w:sz="4"/>
          <w:insideV w:val="nil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100"/>
        <w:gridCol w:w="1700"/>
        <w:gridCol w:w="1500"/>
        <w:gridCol w:w="1500"/>
        <w:gridCol w:w="2200"/>
      </w:tblGrid>
      <w:tr>
        <w:trPr>
          <w:tblHeader/>
        </w:trPr>
        <w:tc>
          <w:tcPr>
            <w:tcW w:w="2100" w:type="dxa"/>
            <w:shd w:val="clear" w:fill="ECEFF1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b/>
                <w:color w:val="263238"/>
                <w:sz w:val="18"/>
              </w:rPr>
              <w:t>分支</w:t>
            </w:r>
          </w:p>
        </w:tc>
        <w:tc>
          <w:tcPr>
            <w:tcW w:w="1700" w:type="dxa"/>
            <w:shd w:val="clear" w:fill="ECEFF1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b/>
                <w:color w:val="263238"/>
                <w:sz w:val="18"/>
              </w:rPr>
              <w:t>总工期</w:t>
            </w:r>
          </w:p>
        </w:tc>
        <w:tc>
          <w:tcPr>
            <w:tcW w:w="1500" w:type="dxa"/>
            <w:shd w:val="clear" w:fill="ECEFF1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b/>
                <w:color w:val="263238"/>
                <w:sz w:val="18"/>
              </w:rPr>
              <w:t>峰值 FTE</w:t>
            </w:r>
          </w:p>
        </w:tc>
        <w:tc>
          <w:tcPr>
            <w:tcW w:w="1500" w:type="dxa"/>
            <w:shd w:val="clear" w:fill="ECEFF1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b/>
                <w:color w:val="263238"/>
                <w:sz w:val="18"/>
              </w:rPr>
              <w:t>累计人月</w:t>
            </w:r>
          </w:p>
        </w:tc>
        <w:tc>
          <w:tcPr>
            <w:tcW w:w="2200" w:type="dxa"/>
            <w:shd w:val="clear" w:fill="ECEFF1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b/>
                <w:color w:val="263238"/>
                <w:sz w:val="18"/>
              </w:rPr>
              <w:t>里程碑</w:t>
            </w:r>
          </w:p>
        </w:tc>
      </w:tr>
      <w:tr>
        <w:tc>
          <w:tcPr>
            <w:tcW w:w="21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A 克制（本版）</w:t>
            </w:r>
          </w:p>
        </w:tc>
        <w:tc>
          <w:tcPr>
            <w:tcW w:w="17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9～12 月</w:t>
            </w:r>
          </w:p>
        </w:tc>
        <w:tc>
          <w:tcPr>
            <w:tcW w:w="15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5～6</w:t>
            </w:r>
          </w:p>
        </w:tc>
        <w:tc>
          <w:tcPr>
            <w:tcW w:w="15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约 30</w:t>
            </w:r>
          </w:p>
        </w:tc>
        <w:tc>
          <w:tcPr>
            <w:tcW w:w="22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三 Demo ＋ 量化连续性评审</w:t>
            </w:r>
          </w:p>
        </w:tc>
      </w:tr>
      <w:tr>
        <w:tc>
          <w:tcPr>
            <w:tcW w:w="21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A→产品化延伸</w:t>
            </w:r>
          </w:p>
        </w:tc>
        <w:tc>
          <w:tcPr>
            <w:tcW w:w="17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＋9～12 月</w:t>
            </w:r>
          </w:p>
        </w:tc>
        <w:tc>
          <w:tcPr>
            <w:tcW w:w="15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8</w:t>
            </w:r>
          </w:p>
        </w:tc>
        <w:tc>
          <w:tcPr>
            <w:tcW w:w="15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＋约 80</w:t>
            </w:r>
          </w:p>
        </w:tc>
        <w:tc>
          <w:tcPr>
            <w:tcW w:w="22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单载体 1,000 真实实例、Archive 可用</w:t>
            </w:r>
          </w:p>
        </w:tc>
      </w:tr>
      <w:tr>
        <w:tc>
          <w:tcPr>
            <w:tcW w:w="21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B 全量（原 0.2 范围）</w:t>
            </w:r>
          </w:p>
        </w:tc>
        <w:tc>
          <w:tcPr>
            <w:tcW w:w="17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36～42 月起</w:t>
            </w:r>
          </w:p>
        </w:tc>
        <w:tc>
          <w:tcPr>
            <w:tcW w:w="15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15～20</w:t>
            </w:r>
          </w:p>
        </w:tc>
        <w:tc>
          <w:tcPr>
            <w:tcW w:w="15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450＋</w:t>
            </w:r>
          </w:p>
        </w:tc>
        <w:tc>
          <w:tcPr>
            <w:tcW w:w="22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完整平台（研究项开放式）</w:t>
            </w:r>
          </w:p>
        </w:tc>
      </w:tr>
      <w:tr>
        <w:tc>
          <w:tcPr>
            <w:tcW w:w="21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C 激进产品化</w:t>
            </w:r>
          </w:p>
        </w:tc>
        <w:tc>
          <w:tcPr>
            <w:tcW w:w="17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12～18 月</w:t>
            </w:r>
          </w:p>
        </w:tc>
        <w:tc>
          <w:tcPr>
            <w:tcW w:w="15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10～14</w:t>
            </w:r>
          </w:p>
        </w:tc>
        <w:tc>
          <w:tcPr>
            <w:tcW w:w="15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160～200</w:t>
            </w:r>
          </w:p>
        </w:tc>
        <w:tc>
          <w:tcPr>
            <w:tcW w:w="22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收费产品上线（高风险）</w:t>
            </w:r>
          </w:p>
        </w:tc>
      </w:tr>
    </w:tbl>
    <w:p>
      <w:pPr>
        <w:pStyle w:val="Caption"/>
      </w:pPr>
      <w:r>
        <w:t>表 10-3：分支汇总（全部为估算，误差 ±30%）</w:t>
      </w:r>
    </w:p>
    <w:p>
      <w:pPr>
        <w:pStyle w:val="Heading1"/>
      </w:pPr>
      <w:r>
        <w:t>11 开源策略与社区治理</w:t>
      </w:r>
    </w:p>
    <w:p>
      <w:pPr>
        <w:pStyle w:val="Heading2"/>
      </w:pPr>
      <w:r>
        <w:t>11.1 项目自身许可证</w:t>
      </w:r>
    </w:p>
    <w:p>
      <w:r>
        <w:t>Draft 0.2 规定了第三方组件的许可证政策，却没有规定 LifeOS 自身以什么许可证开源。本版决定：</w:t>
      </w:r>
    </w:p>
    <w:tbl>
      <w:tblPr>
        <w:tblW w:w="5000" w:type="pct"/>
        <w:tblBorders>
          <w:top w:val="single" w:color="37474F" w:sz="12"/>
          <w:left w:val="nil"/>
          <w:bottom w:val="single" w:color="37474F" w:sz="12"/>
          <w:right w:val="nil"/>
          <w:insideH w:val="single" w:color="CFD8DC" w:sz="4"/>
          <w:insideV w:val="nil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000"/>
        <w:gridCol w:w="2200"/>
        <w:gridCol w:w="3800"/>
      </w:tblGrid>
      <w:tr>
        <w:trPr>
          <w:tblHeader/>
        </w:trPr>
        <w:tc>
          <w:tcPr>
            <w:tcW w:w="3000" w:type="dxa"/>
            <w:shd w:val="clear" w:fill="ECEFF1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b/>
                <w:color w:val="263238"/>
                <w:sz w:val="18"/>
              </w:rPr>
              <w:t>内容</w:t>
            </w:r>
          </w:p>
        </w:tc>
        <w:tc>
          <w:tcPr>
            <w:tcW w:w="2200" w:type="dxa"/>
            <w:shd w:val="clear" w:fill="ECEFF1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b/>
                <w:color w:val="263238"/>
                <w:sz w:val="18"/>
              </w:rPr>
              <w:t>许可证</w:t>
            </w:r>
          </w:p>
        </w:tc>
        <w:tc>
          <w:tcPr>
            <w:tcW w:w="3800" w:type="dxa"/>
            <w:shd w:val="clear" w:fill="ECEFF1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b/>
                <w:color w:val="263238"/>
                <w:sz w:val="18"/>
              </w:rPr>
              <w:t>理由</w:t>
            </w:r>
          </w:p>
        </w:tc>
      </w:tr>
      <w:tr>
        <w:tc>
          <w:tcPr>
            <w:tcW w:w="30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运行时内核与 Schema</w:t>
            </w:r>
          </w:p>
        </w:tc>
        <w:tc>
          <w:tcPr>
            <w:tcW w:w="22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Apache-2.0</w:t>
            </w:r>
          </w:p>
        </w:tc>
        <w:tc>
          <w:tcPr>
            <w:tcW w:w="38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与依赖生态一致，最大化采用与商用自由</w:t>
            </w:r>
          </w:p>
        </w:tc>
      </w:tr>
      <w:tr>
        <w:tc>
          <w:tcPr>
            <w:tcW w:w="30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SDK 与工具链</w:t>
            </w:r>
          </w:p>
        </w:tc>
        <w:tc>
          <w:tcPr>
            <w:tcW w:w="22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Apache-2.0</w:t>
            </w:r>
          </w:p>
        </w:tc>
        <w:tc>
          <w:tcPr>
            <w:tcW w:w="38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降低集成门槛</w:t>
            </w:r>
          </w:p>
        </w:tc>
      </w:tr>
      <w:tr>
        <w:tc>
          <w:tcPr>
            <w:tcW w:w="30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文档与规格</w:t>
            </w:r>
          </w:p>
        </w:tc>
        <w:tc>
          <w:tcPr>
            <w:tcW w:w="22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CC BY 4.0</w:t>
            </w:r>
          </w:p>
        </w:tc>
        <w:tc>
          <w:tcPr>
            <w:tcW w:w="38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文档类标准实践</w:t>
            </w:r>
          </w:p>
        </w:tc>
      </w:tr>
      <w:tr>
        <w:tc>
          <w:tcPr>
            <w:tcW w:w="30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评估基准与 gold set</w:t>
            </w:r>
          </w:p>
        </w:tc>
        <w:tc>
          <w:tcPr>
            <w:tcW w:w="22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Apache-2.0（数据部分 CC BY 4.0）</w:t>
            </w:r>
          </w:p>
        </w:tc>
        <w:tc>
          <w:tcPr>
            <w:tcW w:w="38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鼓励第三方复现与对标</w:t>
            </w:r>
          </w:p>
        </w:tc>
      </w:tr>
    </w:tbl>
    <w:p>
      <w:pPr>
        <w:pStyle w:val="Caption"/>
      </w:pPr>
      <w:r>
        <w:t>表 11-1：项目自身许可证</w:t>
      </w:r>
    </w:p>
    <w:p>
      <w:pPr>
        <w:pStyle w:val="Heading2"/>
      </w:pPr>
      <w:r>
        <w:t>11.2 贡献治理</w:t>
      </w:r>
    </w:p>
    <w:p>
      <w:pPr>
        <w:spacing w:after="80" w:line="320" w:lineRule="auto"/>
        <w:ind w:left="480" w:hanging="280" w:firstLine="0"/>
      </w:pPr>
      <w:r>
        <w:rPr>
          <w:color w:val="00838F"/>
        </w:rPr>
        <w:t>▪ </w:t>
      </w:r>
      <w:r>
        <w:t>采用 DCO（Developer Certificate of Origin），不强制 CLA；</w:t>
      </w:r>
    </w:p>
    <w:p>
      <w:pPr>
        <w:spacing w:after="80" w:line="320" w:lineRule="auto"/>
        <w:ind w:left="480" w:hanging="280" w:firstLine="0"/>
      </w:pPr>
      <w:r>
        <w:rPr>
          <w:color w:val="00838F"/>
        </w:rPr>
        <w:t>▪ </w:t>
      </w:r>
      <w:r>
        <w:t>CODEOWNERS ＋ 双人评审合并；Conventional Commits ＋ SemVer；</w:t>
      </w:r>
    </w:p>
    <w:p>
      <w:pPr>
        <w:spacing w:after="80" w:line="320" w:lineRule="auto"/>
        <w:ind w:left="480" w:hanging="280" w:firstLine="0"/>
      </w:pPr>
      <w:r>
        <w:rPr>
          <w:color w:val="00838F"/>
        </w:rPr>
        <w:t>▪ </w:t>
      </w:r>
      <w:r>
        <w:t>架构决策一律走 ADR（docs/adr/）；公开 roadmap 与 good-first-issue 标签。</w:t>
      </w:r>
    </w:p>
    <w:p>
      <w:pPr>
        <w:pStyle w:val="Heading2"/>
      </w:pPr>
      <w:r>
        <w:t>11.3 商标与命名</w:t>
      </w:r>
    </w:p>
    <w:p>
      <w:r>
        <w:t>LifeOS 名称与标识为项目商标：代码可自由分叉，名称与标识不随分叉授权。公开发布前完成商标检索与注册评估（第 5.4 节合规流程已覆盖第三方商标核查）。</w:t>
      </w:r>
    </w:p>
    <w:p>
      <w:pPr>
        <w:pStyle w:val="Heading2"/>
      </w:pPr>
      <w:r>
        <w:t>11.4 开源与商业边界</w:t>
      </w:r>
    </w:p>
    <w:p>
      <w:pPr>
        <w:spacing w:after="80" w:line="320" w:lineRule="auto"/>
        <w:ind w:left="480" w:hanging="280" w:firstLine="0"/>
      </w:pPr>
      <w:r>
        <w:rPr>
          <w:color w:val="00838F"/>
        </w:rPr>
        <w:t>▪ </w:t>
      </w:r>
      <w:r>
        <w:t>开源：运行时内核、Schema、事件协议、评估基准；</w:t>
      </w:r>
    </w:p>
    <w:p>
      <w:pPr>
        <w:spacing w:after="80" w:line="320" w:lineRule="auto"/>
        <w:ind w:left="480" w:hanging="280" w:firstLine="0"/>
      </w:pPr>
      <w:r>
        <w:rPr>
          <w:color w:val="00838F"/>
        </w:rPr>
        <w:t>▪ </w:t>
      </w:r>
      <w:r>
        <w:t>商业（决策门后另行立项）：载体产品、托管服务、企业支持、专有数据集；</w:t>
      </w:r>
    </w:p>
    <w:p>
      <w:pPr>
        <w:spacing w:after="80" w:line="320" w:lineRule="auto"/>
        <w:ind w:left="480" w:hanging="280" w:firstLine="0"/>
      </w:pPr>
      <w:r>
        <w:rPr>
          <w:color w:val="00838F"/>
        </w:rPr>
        <w:t>▪ </w:t>
      </w:r>
      <w:r>
        <w:t>原则：核心能力永不收回闭源，不做 open core 诱饵；</w:t>
      </w:r>
    </w:p>
    <w:p>
      <w:pPr>
        <w:spacing w:after="80" w:line="320" w:lineRule="auto"/>
        <w:ind w:left="480" w:hanging="280" w:firstLine="0"/>
      </w:pPr>
      <w:r>
        <w:rPr>
          <w:color w:val="00838F"/>
        </w:rPr>
        <w:t>▪ </w:t>
      </w:r>
      <w:r>
        <w:t>竞争力来源（沿用 Draft 0.2）：自有生命数据模型、关系动力学、记忆治理、行为协议与评价体系，而非数据库或 Agent Framework 的堆砌。</w:t>
      </w:r>
    </w:p>
    <w:p>
      <w:pPr>
        <w:pStyle w:val="Heading2"/>
      </w:pPr>
      <w:r>
        <w:t>11.5 仓库结构（收敛版）</w:t>
      </w:r>
    </w:p>
    <w:p>
      <w:pPr>
        <w:shd w:val="clear" w:fill="EFF3F5"/>
        <w:spacing w:before="120" w:after="0" w:line="280" w:lineRule="auto"/>
        <w:ind w:left="240" w:firstLine="0"/>
      </w:pPr>
      <w:r>
        <w:rPr>
          <w:rFonts w:ascii="Consolas" w:hAnsi="Consolas" w:eastAsia="Microsoft YaHei"/>
          <w:color w:val="263238"/>
          <w:sz w:val="19"/>
        </w:rPr>
        <w:t xml:space="preserve">lifeos/</w:t>
      </w:r>
    </w:p>
    <w:p>
      <w:pPr>
        <w:shd w:val="clear" w:fill="EFF3F5"/>
        <w:spacing w:before="0" w:after="0" w:line="280" w:lineRule="auto"/>
        <w:ind w:left="240" w:firstLine="0"/>
      </w:pPr>
      <w:r>
        <w:rPr>
          <w:rFonts w:ascii="Consolas" w:hAnsi="Consolas" w:eastAsia="Microsoft YaHei"/>
          <w:color w:val="263238"/>
          <w:sz w:val="19"/>
        </w:rPr>
        <w:t xml:space="preserve">├── runtime/          # life-kernel / memory-os / relationship-engine / behavior-planner / policy-engine</w:t>
      </w:r>
    </w:p>
    <w:p>
      <w:pPr>
        <w:shd w:val="clear" w:fill="EFF3F5"/>
        <w:spacing w:before="0" w:after="0" w:line="280" w:lineRule="auto"/>
        <w:ind w:left="240" w:firstLine="0"/>
      </w:pPr>
      <w:r>
        <w:rPr>
          <w:rFonts w:ascii="Consolas" w:hAnsi="Consolas" w:eastAsia="Microsoft YaHei"/>
          <w:color w:val="263238"/>
          <w:sz w:val="19"/>
        </w:rPr>
        <w:t xml:space="preserve">├── services/         # life-api / model-gateway</w:t>
      </w:r>
    </w:p>
    <w:p>
      <w:pPr>
        <w:shd w:val="clear" w:fill="EFF3F5"/>
        <w:spacing w:before="0" w:after="0" w:line="280" w:lineRule="auto"/>
        <w:ind w:left="240" w:firstLine="0"/>
      </w:pPr>
      <w:r>
        <w:rPr>
          <w:rFonts w:ascii="Consolas" w:hAnsi="Consolas" w:eastAsia="Microsoft YaHei"/>
          <w:color w:val="263238"/>
          <w:sz w:val="19"/>
        </w:rPr>
        <w:t xml:space="preserve">├── apps/             # life-studio</w:t>
      </w:r>
    </w:p>
    <w:p>
      <w:pPr>
        <w:shd w:val="clear" w:fill="EFF3F5"/>
        <w:spacing w:before="0" w:after="0" w:line="280" w:lineRule="auto"/>
        <w:ind w:left="240" w:firstLine="0"/>
      </w:pPr>
      <w:r>
        <w:rPr>
          <w:rFonts w:ascii="Consolas" w:hAnsi="Consolas" w:eastAsia="Microsoft YaHei"/>
          <w:color w:val="263238"/>
          <w:sz w:val="19"/>
        </w:rPr>
        <w:t xml:space="preserve">├── adapters/         # llm / embedding / memory（单向）</w:t>
      </w:r>
    </w:p>
    <w:p>
      <w:pPr>
        <w:shd w:val="clear" w:fill="EFF3F5"/>
        <w:spacing w:before="0" w:after="0" w:line="280" w:lineRule="auto"/>
        <w:ind w:left="240" w:firstLine="0"/>
      </w:pPr>
      <w:r>
        <w:rPr>
          <w:rFonts w:ascii="Consolas" w:hAnsi="Consolas" w:eastAsia="Microsoft YaHei"/>
          <w:color w:val="263238"/>
          <w:sz w:val="19"/>
        </w:rPr>
        <w:t xml:space="preserve">├── schemas/          # events / life / memory / relationship / behavior / policy / archive</w:t>
      </w:r>
    </w:p>
    <w:p>
      <w:pPr>
        <w:shd w:val="clear" w:fill="EFF3F5"/>
        <w:spacing w:before="0" w:after="0" w:line="280" w:lineRule="auto"/>
        <w:ind w:left="240" w:firstLine="0"/>
      </w:pPr>
      <w:r>
        <w:rPr>
          <w:rFonts w:ascii="Consolas" w:hAnsi="Consolas" w:eastAsia="Microsoft YaHei"/>
          <w:color w:val="263238"/>
          <w:sz w:val="19"/>
        </w:rPr>
        <w:t xml:space="preserve">├── simulations/      # continuity-sim（时间加速仿真）</w:t>
      </w:r>
    </w:p>
    <w:p>
      <w:pPr>
        <w:shd w:val="clear" w:fill="EFF3F5"/>
        <w:spacing w:before="0" w:after="0" w:line="280" w:lineRule="auto"/>
        <w:ind w:left="240" w:firstLine="0"/>
      </w:pPr>
      <w:r>
        <w:rPr>
          <w:rFonts w:ascii="Consolas" w:hAnsi="Consolas" w:eastAsia="Microsoft YaHei"/>
          <w:color w:val="263238"/>
          <w:sz w:val="19"/>
        </w:rPr>
        <w:t xml:space="preserve">├── evaluations/      # identity / memory / personality / gold-sets</w:t>
      </w:r>
    </w:p>
    <w:p>
      <w:pPr>
        <w:shd w:val="clear" w:fill="EFF3F5"/>
        <w:spacing w:before="0" w:after="0" w:line="280" w:lineRule="auto"/>
        <w:ind w:left="240" w:firstLine="0"/>
      </w:pPr>
      <w:r>
        <w:rPr>
          <w:rFonts w:ascii="Consolas" w:hAnsi="Consolas" w:eastAsia="Microsoft YaHei"/>
          <w:color w:val="263238"/>
          <w:sz w:val="19"/>
        </w:rPr>
        <w:t xml:space="preserve">├── deployment/       # compose</w:t>
      </w:r>
    </w:p>
    <w:p>
      <w:pPr>
        <w:shd w:val="clear" w:fill="EFF3F5"/>
        <w:spacing w:before="0" w:after="0" w:line="280" w:lineRule="auto"/>
        <w:ind w:left="240" w:firstLine="0"/>
      </w:pPr>
      <w:r>
        <w:rPr>
          <w:rFonts w:ascii="Consolas" w:hAnsi="Consolas" w:eastAsia="Microsoft YaHei"/>
          <w:color w:val="263238"/>
          <w:sz w:val="19"/>
        </w:rPr>
        <w:t xml:space="preserve">├── compliance/       # sbom / licenses / notices</w:t>
      </w:r>
    </w:p>
    <w:p>
      <w:pPr>
        <w:shd w:val="clear" w:fill="EFF3F5"/>
        <w:spacing w:before="0" w:after="160" w:line="280" w:lineRule="auto"/>
        <w:ind w:left="240" w:firstLine="0"/>
      </w:pPr>
      <w:r>
        <w:rPr>
          <w:rFonts w:ascii="Consolas" w:hAnsi="Consolas" w:eastAsia="Microsoft YaHei"/>
          <w:color w:val="263238"/>
          <w:sz w:val="19"/>
        </w:rPr>
        <w:t xml:space="preserve">└── docs/             # product / architecture / adr / api</w:t>
      </w:r>
    </w:p>
    <w:p>
      <w:r>
        <w:t>Draft 0.2 的完整 monorepo 结构在决策门后恢复有效；收敛版只保留决策门前需要的目录，避免用空目录预告尚未建设的能力。</w:t>
      </w:r>
    </w:p>
    <w:p>
      <w:pPr>
        <w:pStyle w:val="Heading1"/>
      </w:pPr>
      <w:r>
        <w:t>12 项目决策原则</w:t>
      </w:r>
    </w:p>
    <w:p>
      <w:r>
        <w:t>沿用 Draft 0.2 全部十五条：</w:t>
      </w:r>
    </w:p>
    <w:p>
      <w:pPr>
        <w:spacing w:after="80" w:line="320" w:lineRule="auto"/>
        <w:ind w:left="480" w:hanging="280" w:firstLine="0"/>
      </w:pPr>
      <w:r>
        <w:rPr>
          <w:color w:val="00838F"/>
        </w:rPr>
        <w:t>▪ </w:t>
      </w:r>
      <w:r>
        <w:t>PostgreSQL 是生命数据的权威来源；</w:t>
      </w:r>
    </w:p>
    <w:p>
      <w:pPr>
        <w:spacing w:after="80" w:line="320" w:lineRule="auto"/>
        <w:ind w:left="480" w:hanging="280" w:firstLine="0"/>
      </w:pPr>
      <w:r>
        <w:rPr>
          <w:color w:val="00838F"/>
        </w:rPr>
        <w:t>▪ </w:t>
      </w:r>
      <w:r>
        <w:t>向量索引和图索引必须能够重建；</w:t>
      </w:r>
    </w:p>
    <w:p>
      <w:pPr>
        <w:spacing w:after="80" w:line="320" w:lineRule="auto"/>
        <w:ind w:left="480" w:hanging="280" w:firstLine="0"/>
      </w:pPr>
      <w:r>
        <w:rPr>
          <w:color w:val="00838F"/>
        </w:rPr>
        <w:t>▪ </w:t>
      </w:r>
      <w:r>
        <w:t>不把任何 LLM 当作 LifeOS 内核；</w:t>
      </w:r>
    </w:p>
    <w:p>
      <w:pPr>
        <w:spacing w:after="80" w:line="320" w:lineRule="auto"/>
        <w:ind w:left="480" w:hanging="280" w:firstLine="0"/>
      </w:pPr>
      <w:r>
        <w:rPr>
          <w:color w:val="00838F"/>
        </w:rPr>
        <w:t>▪ </w:t>
      </w:r>
      <w:r>
        <w:t>不把 RAG 当作 Memory OS；</w:t>
      </w:r>
    </w:p>
    <w:p>
      <w:pPr>
        <w:spacing w:after="80" w:line="320" w:lineRule="auto"/>
        <w:ind w:left="480" w:hanging="280" w:firstLine="0"/>
      </w:pPr>
      <w:r>
        <w:rPr>
          <w:color w:val="00838F"/>
        </w:rPr>
        <w:t>▪ </w:t>
      </w:r>
      <w:r>
        <w:t>不把 Prompt 当作人格；</w:t>
      </w:r>
    </w:p>
    <w:p>
      <w:pPr>
        <w:spacing w:after="80" w:line="320" w:lineRule="auto"/>
        <w:ind w:left="480" w:hanging="280" w:firstLine="0"/>
      </w:pPr>
      <w:r>
        <w:rPr>
          <w:color w:val="00838F"/>
        </w:rPr>
        <w:t>▪ </w:t>
      </w:r>
      <w:r>
        <w:t>不把聊天记录直接当作长期记忆；</w:t>
      </w:r>
    </w:p>
    <w:p>
      <w:pPr>
        <w:spacing w:after="80" w:line="320" w:lineRule="auto"/>
        <w:ind w:left="480" w:hanging="280" w:firstLine="0"/>
      </w:pPr>
      <w:r>
        <w:rPr>
          <w:color w:val="00838F"/>
        </w:rPr>
        <w:t>▪ </w:t>
      </w:r>
      <w:r>
        <w:t>不让 LLM 直接控制物理执行器；</w:t>
      </w:r>
    </w:p>
    <w:p>
      <w:pPr>
        <w:spacing w:after="80" w:line="320" w:lineRule="auto"/>
        <w:ind w:left="480" w:hanging="280" w:firstLine="0"/>
      </w:pPr>
      <w:r>
        <w:rPr>
          <w:color w:val="00838F"/>
        </w:rPr>
        <w:t>▪ </w:t>
      </w:r>
      <w:r>
        <w:t>所有重要状态变化必须可解释；</w:t>
      </w:r>
    </w:p>
    <w:p>
      <w:pPr>
        <w:spacing w:after="80" w:line="320" w:lineRule="auto"/>
        <w:ind w:left="480" w:hanging="280" w:firstLine="0"/>
      </w:pPr>
      <w:r>
        <w:rPr>
          <w:color w:val="00838F"/>
        </w:rPr>
        <w:t>▪ </w:t>
      </w:r>
      <w:r>
        <w:t>所有长期记忆必须支持纠正和删除；</w:t>
      </w:r>
    </w:p>
    <w:p>
      <w:pPr>
        <w:spacing w:after="80" w:line="320" w:lineRule="auto"/>
        <w:ind w:left="480" w:hanging="280" w:firstLine="0"/>
      </w:pPr>
      <w:r>
        <w:rPr>
          <w:color w:val="00838F"/>
        </w:rPr>
        <w:t>▪ </w:t>
      </w:r>
      <w:r>
        <w:t>Life Archive 必须采用开放数据格式；</w:t>
      </w:r>
    </w:p>
    <w:p>
      <w:pPr>
        <w:spacing w:after="80" w:line="320" w:lineRule="auto"/>
        <w:ind w:left="480" w:hanging="280" w:firstLine="0"/>
      </w:pPr>
      <w:r>
        <w:rPr>
          <w:color w:val="00838F"/>
        </w:rPr>
        <w:t>▪ </w:t>
      </w:r>
      <w:r>
        <w:t>所有外部组件必须通过 Adapter 接入；</w:t>
      </w:r>
    </w:p>
    <w:p>
      <w:pPr>
        <w:spacing w:after="80" w:line="320" w:lineRule="auto"/>
        <w:ind w:left="480" w:hanging="280" w:firstLine="0"/>
      </w:pPr>
      <w:r>
        <w:rPr>
          <w:color w:val="00838F"/>
        </w:rPr>
        <w:t>▪ </w:t>
      </w:r>
      <w:r>
        <w:t>核心 Schema 不依赖特定开源项目；</w:t>
      </w:r>
    </w:p>
    <w:p>
      <w:pPr>
        <w:spacing w:after="80" w:line="320" w:lineRule="auto"/>
        <w:ind w:left="480" w:hanging="280" w:firstLine="0"/>
      </w:pPr>
      <w:r>
        <w:rPr>
          <w:color w:val="00838F"/>
        </w:rPr>
        <w:t>▪ </w:t>
      </w:r>
      <w:r>
        <w:t>三个 Demo 通过前不制造复杂机器人；</w:t>
      </w:r>
    </w:p>
    <w:p>
      <w:pPr>
        <w:spacing w:after="80" w:line="320" w:lineRule="auto"/>
        <w:ind w:left="480" w:hanging="280" w:firstLine="0"/>
      </w:pPr>
      <w:r>
        <w:rPr>
          <w:color w:val="00838F"/>
        </w:rPr>
        <w:t>▪ </w:t>
      </w:r>
      <w:r>
        <w:t>A1/A2 不提前微服务化；</w:t>
      </w:r>
    </w:p>
    <w:p>
      <w:pPr>
        <w:spacing w:after="80" w:line="320" w:lineRule="auto"/>
        <w:ind w:left="480" w:hanging="280" w:firstLine="0"/>
      </w:pPr>
      <w:r>
        <w:rPr>
          <w:color w:val="00838F"/>
        </w:rPr>
        <w:t>▪ </w:t>
      </w:r>
      <w:r>
        <w:t>每个版本必须完成许可证和 SBOM 审核。</w:t>
      </w:r>
    </w:p>
    <w:p>
      <w:r>
        <w:t>本版新增四条：</w:t>
      </w:r>
    </w:p>
    <w:p>
      <w:pPr>
        <w:spacing w:after="80" w:line="320" w:lineRule="auto"/>
        <w:ind w:left="480" w:hanging="280" w:firstLine="0"/>
      </w:pPr>
      <w:r>
        <w:rPr>
          <w:color w:val="00838F"/>
        </w:rPr>
        <w:t>▪ </w:t>
      </w:r>
      <w:r>
        <w:t>评估体系与阈值在任何功能扩张之前冻结；</w:t>
      </w:r>
    </w:p>
    <w:p>
      <w:pPr>
        <w:spacing w:after="80" w:line="320" w:lineRule="auto"/>
        <w:ind w:left="480" w:hanging="280" w:firstLine="0"/>
      </w:pPr>
      <w:r>
        <w:rPr>
          <w:color w:val="00838F"/>
        </w:rPr>
        <w:t>▪ </w:t>
      </w:r>
      <w:r>
        <w:t>单实例月推理成本有上限；超限先降级生成侧，永不砍安全与记忆写入；</w:t>
      </w:r>
    </w:p>
    <w:p>
      <w:pPr>
        <w:spacing w:after="80" w:line="320" w:lineRule="auto"/>
        <w:ind w:left="480" w:hanging="280" w:firstLine="0"/>
      </w:pPr>
      <w:r>
        <w:rPr>
          <w:color w:val="00838F"/>
        </w:rPr>
        <w:t>▪ </w:t>
      </w:r>
      <w:r>
        <w:t>阶段门是硬约束：Go/No-Go 未通过，不启动任何决策门后子项目；</w:t>
      </w:r>
    </w:p>
    <w:p>
      <w:pPr>
        <w:spacing w:after="80" w:line="320" w:lineRule="auto"/>
        <w:ind w:left="480" w:hanging="280" w:firstLine="0"/>
      </w:pPr>
      <w:r>
        <w:rPr>
          <w:color w:val="00838F"/>
        </w:rPr>
        <w:t>▪ </w:t>
      </w:r>
      <w:r>
        <w:t>规格中与资金、工期相关的数字一律标注估算假设与误差，禁止虚构精度。</w:t>
      </w:r>
    </w:p>
    <w:p>
      <w:pPr>
        <w:pStyle w:val="Heading1"/>
      </w:pPr>
      <w:r>
        <w:t>13 自研知识产权重点</w:t>
      </w:r>
    </w:p>
    <w:p>
      <w:r>
        <w:t>决策门前聚焦五项，把有限的 30 人月压在真正构成壁垒的地方：</w:t>
      </w:r>
    </w:p>
    <w:p>
      <w:pPr>
        <w:spacing w:after="80" w:line="320" w:lineRule="auto"/>
        <w:ind w:left="480" w:hanging="280" w:firstLine="0"/>
      </w:pPr>
      <w:r>
        <w:rPr>
          <w:color w:val="00838F"/>
        </w:rPr>
        <w:t>▪ </w:t>
      </w:r>
      <w:r>
        <w:t>Life Instance Schema（核心数据模型）；</w:t>
      </w:r>
    </w:p>
    <w:p>
      <w:pPr>
        <w:spacing w:after="80" w:line="320" w:lineRule="auto"/>
        <w:ind w:left="480" w:hanging="280" w:firstLine="0"/>
      </w:pPr>
      <w:r>
        <w:rPr>
          <w:color w:val="00838F"/>
        </w:rPr>
        <w:t>▪ </w:t>
      </w:r>
      <w:r>
        <w:t>Life Event Protocol（事件协议）；</w:t>
      </w:r>
    </w:p>
    <w:p>
      <w:pPr>
        <w:spacing w:after="80" w:line="320" w:lineRule="auto"/>
        <w:ind w:left="480" w:hanging="280" w:firstLine="0"/>
      </w:pPr>
      <w:r>
        <w:rPr>
          <w:color w:val="00838F"/>
        </w:rPr>
        <w:t>▪ </w:t>
      </w:r>
      <w:r>
        <w:t>连续性评价指标与 gold set（第 3 章，含测量方法论）；</w:t>
      </w:r>
    </w:p>
    <w:p>
      <w:pPr>
        <w:spacing w:after="80" w:line="320" w:lineRule="auto"/>
        <w:ind w:left="480" w:hanging="280" w:firstLine="0"/>
      </w:pPr>
      <w:r>
        <w:rPr>
          <w:color w:val="00838F"/>
        </w:rPr>
        <w:t>▪ </w:t>
      </w:r>
      <w:r>
        <w:t>Policy/Safety 规则集（第 8 章红线与策略即代码）；</w:t>
      </w:r>
    </w:p>
    <w:p>
      <w:pPr>
        <w:spacing w:after="80" w:line="320" w:lineRule="auto"/>
        <w:ind w:left="480" w:hanging="280" w:firstLine="0"/>
      </w:pPr>
      <w:r>
        <w:rPr>
          <w:color w:val="00838F"/>
        </w:rPr>
        <w:t>▪ </w:t>
      </w:r>
      <w:r>
        <w:t>上下文组装与跨模型人格连续性方法（H1 假设的工程载体）。</w:t>
      </w:r>
    </w:p>
    <w:p>
      <w:r>
        <w:t>Draft 0.2 第 18 节的其余十项（Memory Governance、Temporal Memory Schema、Relationship Dynamics、Embodiment Capability Protocol、Life Archive Format、两个迁移协议、Continuity Benchmark、Attachment Safety Policy 深化等）在决策门后路线图中继续有效。</w:t>
      </w:r>
    </w:p>
    <w:p>
      <w:pPr>
        <w:pBdr>
          <w:left w:val="single" w:color="00838F" w:sz="20" w:space="8"/>
        </w:pBdr>
        <w:shd w:val="clear" w:fill="F4F8F9"/>
        <w:spacing w:before="160" w:after="200"/>
        <w:ind w:left="480" w:firstLine="0"/>
      </w:pPr>
      <w:r>
        <w:rPr>
          <w:b/>
          <w:color w:val="546E7A"/>
        </w:rPr>
        <w:t>LifeOS 的竞争力不来自使用了多少数据库或 Agent Framework，而来自是否能够证明：同一个生命实例经过长期互动、模型升级和身体迁移之后，仍然能够以稳定、可信、可解释的方式保持「它还是它」。</w:t>
      </w:r>
    </w:p>
    <w:p>
      <w:pPr>
        <w:pStyle w:val="Heading1"/>
      </w:pPr>
      <w:r>
        <w:t>附录 A Go/No-Go 决策门评审细则</w:t>
      </w:r>
    </w:p>
    <w:p>
      <w:r>
        <w:t>评审时间：A2 末（M9）。参与：架构负责人、全员，以及至少 2 名外部评审（其中至少 1 名具有安全/伦理背景）。材料：八项指标 CI 报告、三 Demo 录像与可重复脚本、单实例月成本实测分布、红线测试报告、dogfood 盲测结果。</w:t>
      </w:r>
    </w:p>
    <w:tbl>
      <w:tblPr>
        <w:tblW w:w="5000" w:type="pct"/>
        <w:tblBorders>
          <w:top w:val="single" w:color="37474F" w:sz="12"/>
          <w:left w:val="nil"/>
          <w:bottom w:val="single" w:color="37474F" w:sz="12"/>
          <w:right w:val="nil"/>
          <w:insideH w:val="single" w:color="CFD8DC" w:sz="4"/>
          <w:insideV w:val="nil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000"/>
        <w:gridCol w:w="1100"/>
        <w:gridCol w:w="3300"/>
        <w:gridCol w:w="2600"/>
      </w:tblGrid>
      <w:tr>
        <w:trPr>
          <w:tblHeader/>
        </w:trPr>
        <w:tc>
          <w:tcPr>
            <w:tcW w:w="2000" w:type="dxa"/>
            <w:shd w:val="clear" w:fill="ECEFF1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b/>
                <w:color w:val="263238"/>
                <w:sz w:val="18"/>
              </w:rPr>
              <w:t>维度</w:t>
            </w:r>
          </w:p>
        </w:tc>
        <w:tc>
          <w:tcPr>
            <w:tcW w:w="1100" w:type="dxa"/>
            <w:shd w:val="clear" w:fill="ECEFF1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b/>
                <w:color w:val="263238"/>
                <w:sz w:val="18"/>
              </w:rPr>
              <w:t>权重</w:t>
            </w:r>
          </w:p>
        </w:tc>
        <w:tc>
          <w:tcPr>
            <w:tcW w:w="3300" w:type="dxa"/>
            <w:shd w:val="clear" w:fill="ECEFF1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b/>
                <w:color w:val="263238"/>
                <w:sz w:val="18"/>
              </w:rPr>
              <w:t>通过线</w:t>
            </w:r>
          </w:p>
        </w:tc>
        <w:tc>
          <w:tcPr>
            <w:tcW w:w="2600" w:type="dxa"/>
            <w:shd w:val="clear" w:fill="ECEFF1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b/>
                <w:color w:val="263238"/>
                <w:sz w:val="18"/>
              </w:rPr>
              <w:t>证据来源</w:t>
            </w:r>
          </w:p>
        </w:tc>
      </w:tr>
      <w:tr>
        <w:tc>
          <w:tcPr>
            <w:tcW w:w="20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连续性指标</w:t>
            </w:r>
          </w:p>
        </w:tc>
        <w:tc>
          <w:tcPr>
            <w:tcW w:w="11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35%</w:t>
            </w:r>
          </w:p>
        </w:tc>
        <w:tc>
          <w:tcPr>
            <w:tcW w:w="33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表 3-1 八项指标全部达到暂定阈值</w:t>
            </w:r>
          </w:p>
        </w:tc>
        <w:tc>
          <w:tcPr>
            <w:tcW w:w="26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CI 评估报告（冻结版本）</w:t>
            </w:r>
          </w:p>
        </w:tc>
      </w:tr>
      <w:tr>
        <w:tc>
          <w:tcPr>
            <w:tcW w:w="20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三 Demo 质量</w:t>
            </w:r>
          </w:p>
        </w:tc>
        <w:tc>
          <w:tcPr>
            <w:tcW w:w="11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20%</w:t>
            </w:r>
          </w:p>
        </w:tc>
        <w:tc>
          <w:tcPr>
            <w:tcW w:w="33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可重复执行；盲测「像同一个它」≥ 75%</w:t>
            </w:r>
          </w:p>
        </w:tc>
        <w:tc>
          <w:tcPr>
            <w:tcW w:w="26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Demo 脚本 ＋ 盲测问卷</w:t>
            </w:r>
          </w:p>
        </w:tc>
      </w:tr>
      <w:tr>
        <w:tc>
          <w:tcPr>
            <w:tcW w:w="20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安全合规</w:t>
            </w:r>
          </w:p>
        </w:tc>
        <w:tc>
          <w:tcPr>
            <w:tcW w:w="11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20%</w:t>
            </w:r>
          </w:p>
        </w:tc>
        <w:tc>
          <w:tcPr>
            <w:tcW w:w="33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十条红线全过，零高危未决缺陷</w:t>
            </w:r>
          </w:p>
        </w:tc>
        <w:tc>
          <w:tcPr>
            <w:tcW w:w="26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红线测试报告 ＋ 审计记录</w:t>
            </w:r>
          </w:p>
        </w:tc>
      </w:tr>
      <w:tr>
        <w:tc>
          <w:tcPr>
            <w:tcW w:w="20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成本可行</w:t>
            </w:r>
          </w:p>
        </w:tc>
        <w:tc>
          <w:tcPr>
            <w:tcW w:w="11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15%</w:t>
            </w:r>
          </w:p>
        </w:tc>
        <w:tc>
          <w:tcPr>
            <w:tcW w:w="33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单实例月成本 P95 低于商业评审线</w:t>
            </w:r>
          </w:p>
        </w:tc>
        <w:tc>
          <w:tcPr>
            <w:tcW w:w="26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成本实测分布报告</w:t>
            </w:r>
          </w:p>
        </w:tc>
      </w:tr>
      <w:tr>
        <w:tc>
          <w:tcPr>
            <w:tcW w:w="20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工程质量</w:t>
            </w:r>
          </w:p>
        </w:tc>
        <w:tc>
          <w:tcPr>
            <w:tcW w:w="11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10%</w:t>
            </w:r>
          </w:p>
        </w:tc>
        <w:tc>
          <w:tcPr>
            <w:tcW w:w="33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核心逻辑测试覆盖；事件可回放重算</w:t>
            </w:r>
          </w:p>
        </w:tc>
        <w:tc>
          <w:tcPr>
            <w:tcW w:w="26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测试与回放审计</w:t>
            </w:r>
          </w:p>
        </w:tc>
      </w:tr>
    </w:tbl>
    <w:p>
      <w:pPr>
        <w:pStyle w:val="Caption"/>
      </w:pPr>
      <w:r>
        <w:t>表 A-1：决策门评分维度</w:t>
      </w:r>
    </w:p>
    <w:p>
      <w:pPr>
        <w:spacing w:after="80" w:line="320" w:lineRule="auto"/>
        <w:ind w:left="480" w:hanging="280" w:firstLine="0"/>
      </w:pPr>
      <w:r>
        <w:rPr>
          <w:color w:val="00838F"/>
        </w:rPr>
        <w:t>▪ </w:t>
      </w:r>
      <w:r>
        <w:t>Go：加权得分 ≥ 80 且安全合规维度满分——按附录 B 启动后续子项目；</w:t>
      </w:r>
    </w:p>
    <w:p>
      <w:pPr>
        <w:spacing w:after="80" w:line="320" w:lineRule="auto"/>
        <w:ind w:left="480" w:hanging="280" w:firstLine="0"/>
      </w:pPr>
      <w:r>
        <w:rPr>
          <w:color w:val="00838F"/>
        </w:rPr>
        <w:t>▪ </w:t>
      </w:r>
      <w:r>
        <w:t>Conditional Go：存在非安全类未达标项——列出 30 日整改清单，复审一次；</w:t>
      </w:r>
    </w:p>
    <w:p>
      <w:pPr>
        <w:spacing w:after="80" w:line="320" w:lineRule="auto"/>
        <w:ind w:left="480" w:hanging="280" w:firstLine="0"/>
      </w:pPr>
      <w:r>
        <w:rPr>
          <w:color w:val="00838F"/>
        </w:rPr>
        <w:t>▪ </w:t>
      </w:r>
      <w:r>
        <w:t>No-Go：终止或 pivot；全部资产（Schema、评估基准、gold set、仿真器）按第 11 章许可证开源归档，失败结论写入 ADR 公开。</w:t>
      </w:r>
    </w:p>
    <w:p>
      <w:pPr>
        <w:pStyle w:val="Heading1"/>
      </w:pPr>
      <w:r>
        <w:t>附录 B 决策门后路线图（SP-11～SP-19）</w:t>
      </w:r>
    </w:p>
    <w:p>
      <w:r>
        <w:t>触发条件是启动的必要条件而非充分条件；每个子项目启动前单独评审。工期与人月为估算（误差 ±30%）。</w:t>
      </w:r>
    </w:p>
    <w:tbl>
      <w:tblPr>
        <w:tblW w:w="5000" w:type="pct"/>
        <w:tblBorders>
          <w:top w:val="single" w:color="37474F" w:sz="12"/>
          <w:left w:val="nil"/>
          <w:bottom w:val="single" w:color="37474F" w:sz="12"/>
          <w:right w:val="nil"/>
          <w:insideH w:val="single" w:color="CFD8DC" w:sz="4"/>
          <w:insideV w:val="nil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300"/>
        <w:gridCol w:w="3300"/>
        <w:gridCol w:w="2500"/>
        <w:gridCol w:w="1900"/>
      </w:tblGrid>
      <w:tr>
        <w:trPr>
          <w:tblHeader/>
        </w:trPr>
        <w:tc>
          <w:tcPr>
            <w:tcW w:w="1300" w:type="dxa"/>
            <w:shd w:val="clear" w:fill="ECEFF1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b/>
                <w:color w:val="263238"/>
                <w:sz w:val="18"/>
              </w:rPr>
              <w:t>子项目</w:t>
            </w:r>
          </w:p>
        </w:tc>
        <w:tc>
          <w:tcPr>
            <w:tcW w:w="3300" w:type="dxa"/>
            <w:shd w:val="clear" w:fill="ECEFF1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b/>
                <w:color w:val="263238"/>
                <w:sz w:val="18"/>
              </w:rPr>
              <w:t>内容</w:t>
            </w:r>
          </w:p>
        </w:tc>
        <w:tc>
          <w:tcPr>
            <w:tcW w:w="2500" w:type="dxa"/>
            <w:shd w:val="clear" w:fill="ECEFF1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b/>
                <w:color w:val="263238"/>
                <w:sz w:val="18"/>
              </w:rPr>
              <w:t>触发条件</w:t>
            </w:r>
          </w:p>
        </w:tc>
        <w:tc>
          <w:tcPr>
            <w:tcW w:w="1900" w:type="dxa"/>
            <w:shd w:val="clear" w:fill="ECEFF1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b/>
                <w:color w:val="263238"/>
                <w:sz w:val="18"/>
              </w:rPr>
              <w:t>工期/FTE/人月</w:t>
            </w:r>
          </w:p>
        </w:tc>
      </w:tr>
      <w:tr>
        <w:tc>
          <w:tcPr>
            <w:tcW w:w="13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SP-11 Memory v1</w:t>
            </w:r>
          </w:p>
        </w:tc>
        <w:tc>
          <w:tcPr>
            <w:tcW w:w="33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七类记忆、时态关系图、自动冲突检测、日/周/月总结</w:t>
            </w:r>
          </w:p>
        </w:tc>
        <w:tc>
          <w:tcPr>
            <w:tcW w:w="25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决策门通过</w:t>
            </w:r>
          </w:p>
        </w:tc>
        <w:tc>
          <w:tcPr>
            <w:tcW w:w="19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3.0 / 3 / 9</w:t>
            </w:r>
          </w:p>
        </w:tc>
      </w:tr>
      <w:tr>
        <w:tc>
          <w:tcPr>
            <w:tcW w:w="13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SP-12 Kernel v1</w:t>
            </w:r>
          </w:p>
        </w:tc>
        <w:tc>
          <w:tcPr>
            <w:tcW w:w="33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多时间尺度状态、个体参数、快照恢复</w:t>
            </w:r>
          </w:p>
        </w:tc>
        <w:tc>
          <w:tcPr>
            <w:tcW w:w="25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决策门通过</w:t>
            </w:r>
          </w:p>
        </w:tc>
        <w:tc>
          <w:tcPr>
            <w:tcW w:w="19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2.0 / 2 / 4</w:t>
            </w:r>
          </w:p>
        </w:tc>
      </w:tr>
      <w:tr>
        <w:tc>
          <w:tcPr>
            <w:tcW w:w="13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SP-13 Relationship v1</w:t>
            </w:r>
          </w:p>
        </w:tc>
        <w:tc>
          <w:tcPr>
            <w:tcW w:w="33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多用户、家庭关系、冲突与修复、异常检测</w:t>
            </w:r>
          </w:p>
        </w:tc>
        <w:tc>
          <w:tcPr>
            <w:tcW w:w="25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决策门通过</w:t>
            </w:r>
          </w:p>
        </w:tc>
        <w:tc>
          <w:tcPr>
            <w:tcW w:w="19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2.0 / 2 / 4</w:t>
            </w:r>
          </w:p>
        </w:tc>
      </w:tr>
      <w:tr>
        <w:tc>
          <w:tcPr>
            <w:tcW w:w="13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SP-14 Planner v1</w:t>
            </w:r>
          </w:p>
        </w:tc>
        <w:tc>
          <w:tcPr>
            <w:tcW w:w="33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完整行为树＋HTN 实验、中断恢复、主动互动预算</w:t>
            </w:r>
          </w:p>
        </w:tc>
        <w:tc>
          <w:tcPr>
            <w:tcW w:w="25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决策门通过</w:t>
            </w:r>
          </w:p>
        </w:tc>
        <w:tc>
          <w:tcPr>
            <w:tcW w:w="19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2.5 / 2.5 / 6</w:t>
            </w:r>
          </w:p>
        </w:tc>
      </w:tr>
      <w:tr>
        <w:tc>
          <w:tcPr>
            <w:tcW w:w="13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SP-15 单载体产品化</w:t>
            </w:r>
          </w:p>
        </w:tc>
        <w:tc>
          <w:tcPr>
            <w:tcW w:w="33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虚拟宠物或 App 上线，1,000 真实实例</w:t>
            </w:r>
          </w:p>
        </w:tc>
        <w:tc>
          <w:tcPr>
            <w:tcW w:w="25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决策门通过 ＋ 商业评审</w:t>
            </w:r>
          </w:p>
        </w:tc>
        <w:tc>
          <w:tcPr>
            <w:tcW w:w="19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4.0 / 5 / 20</w:t>
            </w:r>
          </w:p>
        </w:tc>
      </w:tr>
      <w:tr>
        <w:tc>
          <w:tcPr>
            <w:tcW w:w="13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SP-16 Archive/迁移</w:t>
            </w:r>
          </w:p>
        </w:tc>
        <w:tc>
          <w:tcPr>
            <w:tcW w:w="33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Life Archive 导入导出、迁移协议 v0</w:t>
            </w:r>
          </w:p>
        </w:tc>
        <w:tc>
          <w:tcPr>
            <w:tcW w:w="25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SP-15 启动</w:t>
            </w:r>
          </w:p>
        </w:tc>
        <w:tc>
          <w:tcPr>
            <w:tcW w:w="19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2.0 / 2 / 4</w:t>
            </w:r>
          </w:p>
        </w:tc>
      </w:tr>
      <w:tr>
        <w:tc>
          <w:tcPr>
            <w:tcW w:w="13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SP-17 平台化</w:t>
            </w:r>
          </w:p>
        </w:tc>
        <w:tc>
          <w:tcPr>
            <w:tcW w:w="33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多租户、双语言 SDK、K8s、Qdrant/AGE/OpenSearch 等按需引入</w:t>
            </w:r>
          </w:p>
        </w:tc>
        <w:tc>
          <w:tcPr>
            <w:tcW w:w="25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SP-15 有真实负载证据</w:t>
            </w:r>
          </w:p>
        </w:tc>
        <w:tc>
          <w:tcPr>
            <w:tcW w:w="19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4.0 / 4 / 16</w:t>
            </w:r>
          </w:p>
        </w:tc>
      </w:tr>
      <w:tr>
        <w:tc>
          <w:tcPr>
            <w:tcW w:w="13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SP-18 端侧 Rust Runtime</w:t>
            </w:r>
          </w:p>
        </w:tc>
        <w:tc>
          <w:tcPr>
            <w:tcW w:w="33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Edge Runtime、低延迟协议、端侧推理</w:t>
            </w:r>
          </w:p>
        </w:tc>
        <w:tc>
          <w:tcPr>
            <w:tcW w:w="25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Draft 0.2 §5.1.5 触发条件满足</w:t>
            </w:r>
          </w:p>
        </w:tc>
        <w:tc>
          <w:tcPr>
            <w:tcW w:w="19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3.0 / 2 / 6</w:t>
            </w:r>
          </w:p>
        </w:tc>
      </w:tr>
      <w:tr>
        <w:tc>
          <w:tcPr>
            <w:tcW w:w="13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SP-19 Benchmark 运营</w:t>
            </w:r>
          </w:p>
        </w:tc>
        <w:tc>
          <w:tcPr>
            <w:tcW w:w="33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Life Continuity Benchmark 公开版，季度更新</w:t>
            </w:r>
          </w:p>
        </w:tc>
        <w:tc>
          <w:tcPr>
            <w:tcW w:w="25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SP-08 稳定运行</w:t>
            </w:r>
          </w:p>
        </w:tc>
        <w:tc>
          <w:tcPr>
            <w:tcW w:w="19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持续 / 1 / 6 每年</w:t>
            </w:r>
          </w:p>
        </w:tc>
      </w:tr>
    </w:tbl>
    <w:p>
      <w:pPr>
        <w:pStyle w:val="Caption"/>
      </w:pPr>
      <w:r>
        <w:t>表 B-1：决策门后子项目池</w:t>
      </w:r>
    </w:p>
    <w:p>
      <w:r>
        <w:t>Draft 0.2 Phase 3 的平台化目标（10,000 实例、100,000 记忆/实例、多租户、双载体）仅在 SP-15 提供真实负载证据后，于 SP-17 中恢复为验收目标。Phase 4 的研究性难点中，评价体系与安全伦理已前置为第 3 章与第 8 章；其余（人格成长、十年记忆治理、自然行为、可信关系、跨载体迁移）进入研究池，启动时须配齐对应领域的顾问角色。</w:t>
      </w:r>
    </w:p>
    <w:p>
      <w:pPr>
        <w:pStyle w:val="Heading1"/>
      </w:pPr>
      <w:r>
        <w:t>附录 C Draft 0.2 移除与延后清单</w:t>
      </w:r>
    </w:p>
    <w:tbl>
      <w:tblPr>
        <w:tblW w:w="5000" w:type="pct"/>
        <w:tblBorders>
          <w:top w:val="single" w:color="37474F" w:sz="12"/>
          <w:left w:val="nil"/>
          <w:bottom w:val="single" w:color="37474F" w:sz="12"/>
          <w:right w:val="nil"/>
          <w:insideH w:val="single" w:color="CFD8DC" w:sz="4"/>
          <w:insideV w:val="nil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600"/>
        <w:gridCol w:w="1200"/>
        <w:gridCol w:w="4200"/>
      </w:tblGrid>
      <w:tr>
        <w:trPr>
          <w:tblHeader/>
        </w:trPr>
        <w:tc>
          <w:tcPr>
            <w:tcW w:w="3600" w:type="dxa"/>
            <w:shd w:val="clear" w:fill="ECEFF1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b/>
                <w:color w:val="263238"/>
                <w:sz w:val="18"/>
              </w:rPr>
              <w:t>内容</w:t>
            </w:r>
          </w:p>
        </w:tc>
        <w:tc>
          <w:tcPr>
            <w:tcW w:w="1200" w:type="dxa"/>
            <w:shd w:val="clear" w:fill="ECEFF1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b/>
                <w:color w:val="263238"/>
                <w:sz w:val="18"/>
              </w:rPr>
              <w:t>处理</w:t>
            </w:r>
          </w:p>
        </w:tc>
        <w:tc>
          <w:tcPr>
            <w:tcW w:w="4200" w:type="dxa"/>
            <w:shd w:val="clear" w:fill="ECEFF1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b/>
                <w:color w:val="263238"/>
                <w:sz w:val="18"/>
              </w:rPr>
              <w:t>去向 / 理由</w:t>
            </w:r>
          </w:p>
        </w:tc>
      </w:tr>
      <w:tr>
        <w:tc>
          <w:tcPr>
            <w:tcW w:w="36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Phase 3 全量（Memory/Kernel/Relationship/Planner v1）</w:t>
            </w:r>
          </w:p>
        </w:tc>
        <w:tc>
          <w:tcPr>
            <w:tcW w:w="12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延后</w:t>
            </w:r>
          </w:p>
        </w:tc>
        <w:tc>
          <w:tcPr>
            <w:tcW w:w="42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附录 B：SP-11～SP-14</w:t>
            </w:r>
          </w:p>
        </w:tc>
      </w:tr>
      <w:tr>
        <w:tc>
          <w:tcPr>
            <w:tcW w:w="36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Phase 4 七大难点</w:t>
            </w:r>
          </w:p>
        </w:tc>
        <w:tc>
          <w:tcPr>
            <w:tcW w:w="12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部分前置</w:t>
            </w:r>
          </w:p>
        </w:tc>
        <w:tc>
          <w:tcPr>
            <w:tcW w:w="42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评价体系→第 3 章；安全伦理→第 8 章；其余入研究池</w:t>
            </w:r>
          </w:p>
        </w:tc>
      </w:tr>
      <w:tr>
        <w:tc>
          <w:tcPr>
            <w:tcW w:w="36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K8s、多租户、Qdrant、AGE、OpenSearch、SeaweedFS、ClickHouse、NATS</w:t>
            </w:r>
          </w:p>
        </w:tc>
        <w:tc>
          <w:tcPr>
            <w:tcW w:w="12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延后</w:t>
            </w:r>
          </w:p>
        </w:tc>
        <w:tc>
          <w:tcPr>
            <w:tcW w:w="42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SP-17 及以后，按真实负载引入</w:t>
            </w:r>
          </w:p>
        </w:tc>
      </w:tr>
      <w:tr>
        <w:tc>
          <w:tcPr>
            <w:tcW w:w="36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Rust 全部内容</w:t>
            </w:r>
          </w:p>
        </w:tc>
        <w:tc>
          <w:tcPr>
            <w:tcW w:w="12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延后</w:t>
            </w:r>
          </w:p>
        </w:tc>
        <w:tc>
          <w:tcPr>
            <w:tcW w:w="42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SP-18，触发条件不变（Draft 0.2 §5.1.5）</w:t>
            </w:r>
          </w:p>
        </w:tc>
      </w:tr>
      <w:tr>
        <w:tc>
          <w:tcPr>
            <w:tcW w:w="36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Celery 过渡</w:t>
            </w:r>
          </w:p>
        </w:tc>
        <w:tc>
          <w:tcPr>
            <w:tcW w:w="12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移除</w:t>
            </w:r>
          </w:p>
        </w:tc>
        <w:tc>
          <w:tcPr>
            <w:tcW w:w="42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A1 直接使用 Temporal</w:t>
            </w:r>
          </w:p>
        </w:tc>
      </w:tr>
      <w:tr>
        <w:tc>
          <w:tcPr>
            <w:tcW w:w="36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双载体验收（App＋虚拟宠物）</w:t>
            </w:r>
          </w:p>
        </w:tc>
        <w:tc>
          <w:tcPr>
            <w:tcW w:w="12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收敛</w:t>
            </w:r>
          </w:p>
        </w:tc>
        <w:tc>
          <w:tcPr>
            <w:tcW w:w="42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决策门前单载体（二选一）</w:t>
            </w:r>
          </w:p>
        </w:tc>
      </w:tr>
      <w:tr>
        <w:tc>
          <w:tcPr>
            <w:tcW w:w="36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10,000 实例 / 100,000 记忆验收</w:t>
            </w:r>
          </w:p>
        </w:tc>
        <w:tc>
          <w:tcPr>
            <w:tcW w:w="12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延后</w:t>
            </w:r>
          </w:p>
        </w:tc>
        <w:tc>
          <w:tcPr>
            <w:tcW w:w="42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SP-15 / SP-17</w:t>
            </w:r>
          </w:p>
        </w:tc>
      </w:tr>
      <w:tr>
        <w:tc>
          <w:tcPr>
            <w:tcW w:w="36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Go 替代方案对照表</w:t>
            </w:r>
          </w:p>
        </w:tc>
        <w:tc>
          <w:tcPr>
            <w:tcW w:w="12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保留有效</w:t>
            </w:r>
          </w:p>
        </w:tc>
        <w:tc>
          <w:tcPr>
            <w:tcW w:w="42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决策门前无需执行</w:t>
            </w:r>
          </w:p>
        </w:tc>
      </w:tr>
      <w:tr>
        <w:tc>
          <w:tcPr>
            <w:tcW w:w="36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开源选型总表与移除组件表</w:t>
            </w:r>
          </w:p>
        </w:tc>
        <w:tc>
          <w:tcPr>
            <w:tcW w:w="12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保留有效</w:t>
            </w:r>
          </w:p>
        </w:tc>
        <w:tc>
          <w:tcPr>
            <w:tcW w:w="42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门后引入组件时执行同一核查流程</w:t>
            </w:r>
          </w:p>
        </w:tc>
      </w:tr>
      <w:tr>
        <w:tc>
          <w:tcPr>
            <w:tcW w:w="36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四类记忆概念分层（RAG/Agent Memory/全局知识）</w:t>
            </w:r>
          </w:p>
        </w:tc>
        <w:tc>
          <w:tcPr>
            <w:tcW w:w="12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保留有效</w:t>
            </w:r>
          </w:p>
        </w:tc>
        <w:tc>
          <w:tcPr>
            <w:tcW w:w="4200" w:type="dxa"/>
          </w:tcPr>
          <w:p>
            <w:pPr>
              <w:spacing w:before="20" w:after="20" w:line="260" w:lineRule="auto"/>
              <w:ind w:firstLine="0"/>
            </w:pPr>
            <w:r>
              <w:rPr>
                <w:rFonts w:ascii="Calibri" w:hAnsi="Calibri" w:eastAsia="Microsoft YaHei"/>
                <w:color w:val="546E7A"/>
                <w:sz w:val="18"/>
              </w:rPr>
              <w:t>概念框架不变，工程实现按 v0 范围</w:t>
            </w:r>
          </w:p>
        </w:tc>
      </w:tr>
    </w:tbl>
    <w:p>
      <w:pPr>
        <w:pStyle w:val="Caption"/>
      </w:pPr>
      <w:r>
        <w:t>表 C-1：移除与延后清单（可溯源）</w:t>
      </w:r>
    </w:p>
    <w:p>
      <w:r>
        <w:t>本版未改写的 Draft 0.2 内容——四大模块与 RAG/Agent Memory/全局知识的职责切分、核心数据实体清单（26 个实体及其通用字段要求）、LifeRuntime 核心接口定义——全部继续有效，不再重复引用。</w:t>
      </w:r>
    </w:p>
    <w:p>
      <w:pPr>
        <w:sectPr>
          <w:headerReference w:type="default" r:id="Rbdfecdcbcca941e7"/>
          <w:footerReference w:type="default" r:id="Rbb0738bed05f43df"/>
          <w:pgSz w:w="11906" w:h="16838"/>
          <w:pgMar w:top="1800" w:right="1440" w:bottom="1440" w:left="1440" w:header="720" w:footer="720"/>
        </w:sectPr>
      </w:pPr>
    </w:p>
    <w:p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2" name="BackB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ckBg.png"/>
                    <pic:cNvPicPr/>
                  </pic:nvPicPr>
                  <pic:blipFill>
                    <a:blip r:embed="R9f20755dfaaf416a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6600"/>
        <w:ind w:firstLine="0"/>
        <w:jc w:val="center"/>
      </w:pPr>
      <w:r>
        <w:rPr>
          <w:rFonts w:ascii="Calibri" w:hAnsi="Calibri" w:eastAsia="Microsoft YaHei"/>
          <w:b/>
          <w:color w:val="FFFFFF"/>
          <w:spacing w:val="20"/>
          <w:sz w:val="36"/>
        </w:rPr>
        <w:t>决策门之前：证明「它还是它」。</w:t>
      </w:r>
    </w:p>
    <w:p>
      <w:pPr>
        <w:spacing w:before="320"/>
        <w:ind w:firstLine="0"/>
        <w:jc w:val="center"/>
      </w:pPr>
      <w:r>
        <w:rPr>
          <w:rFonts w:ascii="Calibri" w:hAnsi="Calibri" w:eastAsia="Microsoft YaHei"/>
          <w:color w:val="B2EBF2"/>
          <w:spacing w:val="20"/>
          <w:sz w:val="26"/>
        </w:rPr>
        <w:t>决策门之后，再谈扩张。</w:t>
      </w:r>
    </w:p>
    <w:p>
      <w:pPr>
        <w:spacing w:before="3600"/>
        <w:ind w:firstLine="0"/>
        <w:jc w:val="center"/>
      </w:pPr>
      <w:r>
        <w:rPr>
          <w:rFonts w:ascii="Calibri" w:hAnsi="Calibri" w:eastAsia="Microsoft YaHei"/>
          <w:color w:val="90A4AE"/>
          <w:sz w:val="18"/>
        </w:rPr>
        <w:t>LifeOS 产品规格草案 · Draft 0.3（克制方案版）｜ 2026-08-04</w:t>
      </w:r>
    </w:p>
    <w:sectPr>
      <w:pgSz w:w="11906" w:h="16838"/>
      <w:pgMar w:top="0" w:right="0" w:bottom="0" w:left="0" w:header="0" w:footer="0"/>
    </w:sectPr>
  </w:body>
</w:document>
</file>

<file path=word/footer1.xml><?xml version="1.0" encoding="utf-8"?>
<w:ftr xmlns:w="http://schemas.openxmlformats.org/wordprocessingml/2006/main">
  <w:p>
    <w:pPr>
      <w:ind w:firstLine="0"/>
      <w:jc w:val="center"/>
    </w:pPr>
    <w:r>
      <w:rPr>
        <w:rFonts w:ascii="Calibri" w:hAnsi="Calibri" w:eastAsia="Microsoft YaHei"/>
        <w:color w:val="90A4AE"/>
        <w:sz w:val="17"/>
      </w:rPr>
      <w:t xml:space="preserve">第 </w:t>
    </w:r>
    <w:r>
      <w:rPr>
        <w:rFonts w:ascii="Calibri" w:hAnsi="Calibri" w:eastAsia="Microsoft YaHei"/>
        <w:color w:val="90A4AE"/>
        <w:sz w:val="17"/>
      </w:rPr>
      <w:fldChar w:fldCharType="begin"/>
    </w:r>
    <w:r>
      <w:rPr>
        <w:rFonts w:ascii="Calibri" w:hAnsi="Calibri" w:eastAsia="Microsoft YaHei"/>
        <w:color w:val="90A4AE"/>
        <w:sz w:val="17"/>
      </w:rPr>
      <w:instrText xml:space="preserve"> PAGE </w:instrText>
    </w:r>
    <w:r>
      <w:rPr>
        <w:rFonts w:ascii="Calibri" w:hAnsi="Calibri" w:eastAsia="Microsoft YaHei"/>
        <w:color w:val="90A4AE"/>
        <w:sz w:val="17"/>
      </w:rPr>
      <w:fldChar w:fldCharType="separate"/>
    </w:r>
    <w:r>
      <w:rPr>
        <w:rFonts w:ascii="Calibri" w:hAnsi="Calibri" w:eastAsia="Microsoft YaHei"/>
        <w:color w:val="90A4AE"/>
        <w:sz w:val="17"/>
      </w:rPr>
      <w:t xml:space="preserve">1</w:t>
    </w:r>
    <w:r>
      <w:rPr>
        <w:rFonts w:ascii="Calibri" w:hAnsi="Calibri" w:eastAsia="Microsoft YaHei"/>
        <w:color w:val="90A4AE"/>
        <w:sz w:val="17"/>
      </w:rPr>
      <w:fldChar w:fldCharType="end"/>
    </w:r>
    <w:r>
      <w:rPr>
        <w:rFonts w:ascii="Calibri" w:hAnsi="Calibri" w:eastAsia="Microsoft YaHei"/>
        <w:color w:val="90A4AE"/>
        <w:sz w:val="17"/>
      </w:rPr>
      <w:t xml:space="preserve"> 页 / 共 </w:t>
    </w:r>
    <w:r>
      <w:rPr>
        <w:rFonts w:ascii="Calibri" w:hAnsi="Calibri" w:eastAsia="Microsoft YaHei"/>
        <w:color w:val="90A4AE"/>
        <w:sz w:val="17"/>
      </w:rPr>
      <w:fldChar w:fldCharType="begin"/>
    </w:r>
    <w:r>
      <w:rPr>
        <w:rFonts w:ascii="Calibri" w:hAnsi="Calibri" w:eastAsia="Microsoft YaHei"/>
        <w:color w:val="90A4AE"/>
        <w:sz w:val="17"/>
      </w:rPr>
      <w:instrText xml:space="preserve"> NUMPAGES </w:instrText>
    </w:r>
    <w:r>
      <w:rPr>
        <w:rFonts w:ascii="Calibri" w:hAnsi="Calibri" w:eastAsia="Microsoft YaHei"/>
        <w:color w:val="90A4AE"/>
        <w:sz w:val="17"/>
      </w:rPr>
      <w:fldChar w:fldCharType="separate"/>
    </w:r>
    <w:r>
      <w:rPr>
        <w:rFonts w:ascii="Calibri" w:hAnsi="Calibri" w:eastAsia="Microsoft YaHei"/>
        <w:color w:val="90A4AE"/>
        <w:sz w:val="17"/>
      </w:rPr>
      <w:t xml:space="preserve">1</w:t>
    </w:r>
    <w:r>
      <w:rPr>
        <w:rFonts w:ascii="Calibri" w:hAnsi="Calibri" w:eastAsia="Microsoft YaHei"/>
        <w:color w:val="90A4AE"/>
        <w:sz w:val="17"/>
      </w:rPr>
      <w:fldChar w:fldCharType="end"/>
    </w:r>
    <w:r>
      <w:rPr>
        <w:rFonts w:ascii="Calibri" w:hAnsi="Calibri" w:eastAsia="Microsoft YaHei"/>
        <w:color w:val="90A4AE"/>
        <w:sz w:val="17"/>
      </w:rPr>
      <w:t xml:space="preserve"> 页</w:t>
    </w:r>
  </w:p>
</w:ftr>
</file>

<file path=word/header1.xml><?xml version="1.0" encoding="utf-8"?>
<w:hdr xmlns:w="http://schemas.openxmlformats.org/wordprocessingml/2006/main">
  <w:p>
    <w:pPr>
      <w:ind w:firstLine="0"/>
      <w:jc w:val="right"/>
    </w:pPr>
    <w:r>
      <w:rPr>
        <w:rFonts w:ascii="Calibri" w:hAnsi="Calibri" w:eastAsia="Microsoft YaHei"/>
        <w:color w:val="90A4AE"/>
        <w:sz w:val="17"/>
      </w:rPr>
      <w:t>LifeOS 产品规格草案 · Draft 0.3（克制方案版）</w:t>
    </w:r>
  </w:p>
</w:hdr>
</file>

<file path=word/settings.xml><?xml version="1.0" encoding="utf-8"?>
<w:settings xmlns:w="http://schemas.openxmlformats.org/wordprocessingml/2006/main">
  <w:displayBackgroundShape/>
  <w:updateFields w:val="true"/>
</w:settings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140" w:line="340" w:lineRule="auto"/>
      <w:ind w:firstLine="480"/>
    </w:pPr>
    <w:rPr>
      <w:rFonts w:ascii="Calibri" w:hAnsi="Calibri" w:eastAsia="Microsoft YaHei"/>
      <w:color w:val="263238"/>
      <w:sz w:val="21"/>
    </w:rPr>
  </w:style>
  <w:style w:type="paragraph" w:styleId="Heading1">
    <w:name w:val="heading 1"/>
    <w:basedOn w:val="Normal"/>
    <w:pPr>
      <w:keepNext/>
      <w:keepLines/>
      <w:spacing w:before="520" w:after="220"/>
      <w:ind w:firstLine="0"/>
      <w:outlineLvl w:val="0"/>
    </w:pPr>
    <w:rPr>
      <w:rFonts w:ascii="Calibri" w:hAnsi="Calibri" w:eastAsia="Microsoft YaHei"/>
      <w:b/>
      <w:color w:val="37474F"/>
      <w:sz w:val="32"/>
    </w:rPr>
  </w:style>
  <w:style w:type="paragraph" w:styleId="Heading2">
    <w:name w:val="heading 2"/>
    <w:basedOn w:val="Normal"/>
    <w:pPr>
      <w:keepNext/>
      <w:keepLines/>
      <w:spacing w:before="360" w:after="140"/>
      <w:ind w:firstLine="0"/>
      <w:outlineLvl w:val="1"/>
    </w:pPr>
    <w:rPr>
      <w:rFonts w:ascii="Calibri" w:hAnsi="Calibri" w:eastAsia="Microsoft YaHei"/>
      <w:b/>
      <w:color w:val="263238"/>
      <w:sz w:val="26"/>
    </w:rPr>
  </w:style>
  <w:style w:type="paragraph" w:styleId="Heading3">
    <w:name w:val="heading 3"/>
    <w:basedOn w:val="Normal"/>
    <w:pPr>
      <w:keepNext/>
      <w:keepLines/>
      <w:spacing w:before="260" w:after="100"/>
      <w:ind w:firstLine="0"/>
      <w:outlineLvl w:val="2"/>
    </w:pPr>
    <w:rPr>
      <w:rFonts w:ascii="Calibri" w:hAnsi="Calibri" w:eastAsia="Microsoft YaHei"/>
      <w:b/>
      <w:color w:val="546E7A"/>
      <w:sz w:val="23"/>
    </w:rPr>
  </w:style>
  <w:style w:type="paragraph" w:styleId="Caption">
    <w:name w:val="Caption"/>
    <w:basedOn w:val="Normal"/>
    <w:pPr>
      <w:spacing w:before="60" w:after="300"/>
      <w:ind w:firstLine="0"/>
      <w:jc w:val="center"/>
    </w:pPr>
    <w:rPr>
      <w:rFonts w:ascii="Calibri" w:hAnsi="Calibri" w:eastAsia="Microsoft YaHei"/>
      <w:color w:val="90A4AE"/>
      <w:sz w:val="19"/>
    </w:rPr>
  </w:style>
  <w:style w:type="paragraph" w:styleId="TOC1">
    <w:name w:val="toc 1"/>
    <w:basedOn w:val="Normal"/>
    <w:pPr>
      <w:tabs>
        <w:tab w:val="right" w:leader="dot" w:pos="9350"/>
      </w:tabs>
      <w:spacing w:before="160" w:after="40"/>
      <w:ind w:left="0" w:firstLine="0"/>
    </w:pPr>
    <w:rPr>
      <w:rFonts w:ascii="Calibri" w:hAnsi="Calibri" w:eastAsia="Microsoft YaHei"/>
      <w:b/>
      <w:color w:val="263238"/>
    </w:rPr>
  </w:style>
  <w:style w:type="paragraph" w:styleId="TOC2">
    <w:name w:val="toc 2"/>
    <w:basedOn w:val="Normal"/>
    <w:pPr>
      <w:tabs>
        <w:tab w:val="right" w:leader="dot" w:pos="9350"/>
      </w:tabs>
      <w:spacing w:before="40" w:after="40"/>
      <w:ind w:left="360" w:firstLine="0"/>
    </w:pPr>
    <w:rPr>
      <w:rFonts w:ascii="Calibri" w:hAnsi="Calibri" w:eastAsia="Microsoft YaHei"/>
      <w:color w:val="546E7A"/>
    </w:rPr>
  </w:style>
</w:styles>
</file>

<file path=word/_rels/document.xml.rels><?xml version='1.0' encoding='UTF-8'?>
<Relationships xmlns="http://schemas.openxmlformats.org/package/2006/relationships"><Relationship Type="http://schemas.openxmlformats.org/officeDocument/2006/relationships/styles" Target="styles.xml" Id="R9e343d1b4486407a" /><Relationship Type="http://schemas.openxmlformats.org/officeDocument/2006/relationships/image" Target="media/image.png" Id="R7a0956454c4f4a56" /><Relationship Type="http://schemas.openxmlformats.org/officeDocument/2006/relationships/image" Target="media/image2.png" Id="R9f20755dfaaf416a" /><Relationship Type="http://schemas.openxmlformats.org/officeDocument/2006/relationships/header" Target="header1.xml" Id="Rbdfecdcbcca941e7" /><Relationship Type="http://schemas.openxmlformats.org/officeDocument/2006/relationships/footer" Target="footer1.xml" Id="Rbb0738bed05f43df" /><Relationship Type="http://schemas.openxmlformats.org/officeDocument/2006/relationships/settings" Target="settings.xml" Id="R0dddce6c7e744d04" /></Relationships>
</file>