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/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4682B4"/>
          <w:spacing w:val="36"/>
          <w:sz w:val="16"/>
          <w:szCs w:val="16"/>
        </w:rPr>
        <w:t xml:space="preserve">BRAND GUIDELINES  ·  WEBSITE &amp; LAUNCH MATERIALS</w:t>
      </w:r>
    </w:p>
    <w:p>
      <w:pPr>
        <w:spacing w:after="120" w:before="120"/>
        <w:jc w:val="center"/>
      </w:pPr>
      <w:r>
        <w:drawing>
          <wp:inline distT="0" distB="0" distL="0" distR="0">
            <wp:extent cx="1257300" cy="1181100"/>
            <wp:effectExtent t="0" r="0" b="0" l="0"/>
            <wp:docPr id="1" name="AltoLumoMark" descr="AltoLumo logo mark" title="AltoLum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181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D2536"/>
          <w:spacing w:val="-8"/>
          <w:sz w:val="60"/>
          <w:szCs w:val="60"/>
        </w:rPr>
        <w:t xml:space="preserve">Alto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4682B4"/>
          <w:spacing w:val="-8"/>
          <w:sz w:val="60"/>
          <w:szCs w:val="60"/>
        </w:rPr>
        <w:t xml:space="preserve">Lumo</w:t>
      </w:r>
    </w:p>
    <w:p>
      <w:pPr>
        <w:spacing w:after="1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D2536"/>
          <w:sz w:val="34"/>
          <w:szCs w:val="34"/>
        </w:rPr>
        <w:t xml:space="preserve">Brand Book</w:t>
      </w:r>
    </w:p>
    <w:p>
      <w:pPr>
        <w:spacing w:after="6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3B4150"/>
          <w:sz w:val="22"/>
          <w:szCs w:val="22"/>
        </w:rPr>
        <w:t xml:space="preserve">The single source of truth for how AltoLumo looks, sounds, and shows up — on altolumo.com, in decks, and in every launch asset.</w:t>
      </w:r>
    </w:p>
    <w:p>
      <w:pPr>
        <w:pBdr>
          <w:bottom w:val="single" w:color="E2DCCE" w:sz="6" w:space="1"/>
        </w:pBd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/>
      </w:r>
    </w:p>
    <w:p>
      <w:pPr>
        <w:spacing w:before="6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77F6F"/>
          <w:spacing w:val="14"/>
          <w:sz w:val="18"/>
          <w:szCs w:val="18"/>
        </w:rPr>
        <w:t xml:space="preserve">Version 8  ·  July 2026  ·  info@altolumo.com</w:t>
      </w:r>
    </w:p>
    <w:p>
      <w:r>
        <w:br w:type="page"/>
      </w:r>
    </w:p>
    <w:p>
      <w:pPr>
        <w:spacing w:after="60" w:before="2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4682B4"/>
          <w:spacing w:val="30"/>
          <w:sz w:val="17"/>
          <w:szCs w:val="17"/>
        </w:rPr>
        <w:t xml:space="preserve">01 · Foundation</w:t>
      </w:r>
    </w:p>
    <w:p>
      <w:pPr>
        <w:pBdr>
          <w:bottom w:val="single" w:color="4682B4" w:sz="18" w:space="6"/>
        </w:pBdr>
        <w:spacing w:after="16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D2536"/>
          <w:sz w:val="30"/>
          <w:szCs w:val="30"/>
        </w:rPr>
        <w:t xml:space="preserve">The Brand at a Glance</w:t>
      </w:r>
    </w:p>
    <w:p>
      <w:pPr>
        <w:spacing w:after="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4682B4"/>
          <w:spacing w:val="20"/>
          <w:sz w:val="19"/>
          <w:szCs w:val="19"/>
        </w:rPr>
        <w:t xml:space="preserve">Definition  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AltoLumo (n.) — an AI-augmented fractional executive practice that puts a builder in your C-suite: full CTO &amp; COO leadership for founders, startups, and growing companies.</w:t>
      </w:r>
    </w:p>
    <w:p>
      <w:pPr>
        <w:spacing w:after="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4682B4"/>
          <w:spacing w:val="20"/>
          <w:sz w:val="19"/>
          <w:szCs w:val="19"/>
        </w:rPr>
        <w:t xml:space="preserve">Tagline  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We build. You grow.</w:t>
      </w:r>
    </w:p>
    <w:p>
      <w:pPr>
        <w:spacing w:after="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4682B4"/>
          <w:spacing w:val="20"/>
          <w:sz w:val="19"/>
          <w:szCs w:val="19"/>
        </w:rPr>
        <w:t xml:space="preserve">One-liner  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I manage the projects, the people, the sprints, and the delivery outcomes — with Claude and AI streamlining every step.</w:t>
      </w:r>
    </w:p>
    <w:p>
      <w:pPr>
        <w:spacing w:after="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4682B4"/>
          <w:spacing w:val="20"/>
          <w:sz w:val="19"/>
          <w:szCs w:val="19"/>
        </w:rPr>
        <w:t xml:space="preserve">Audience  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Founders and executives of startups and growing companies who need executive weight without executive payroll.</w:t>
      </w:r>
    </w:p>
    <w:p>
      <w:pPr>
        <w:spacing w:after="20" w:before="1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4682B4"/>
          <w:spacing w:val="20"/>
          <w:sz w:val="19"/>
          <w:szCs w:val="19"/>
        </w:rPr>
        <w:t xml:space="preserve">Promise  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Within 90 days, clients know exactly what's being built, who is building it, and when it ships.</w:t>
      </w:r>
    </w:p>
    <w:p>
      <w:pPr>
        <w:spacing w:after="4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/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77F6F"/>
          <w:sz w:val="19"/>
          <w:szCs w:val="19"/>
        </w:rPr>
        <w:t xml:space="preserve">These five lines are canonical. Copy them verbatim into new materials — never paraphrase the tagline or definition.</w:t>
      </w:r>
    </w:p>
    <w:p>
      <w:pPr>
        <w:spacing w:after="60" w:before="2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4682B4"/>
          <w:spacing w:val="30"/>
          <w:sz w:val="17"/>
          <w:szCs w:val="17"/>
        </w:rPr>
        <w:t xml:space="preserve">02 · Foundation</w:t>
      </w:r>
    </w:p>
    <w:p>
      <w:pPr>
        <w:pBdr>
          <w:bottom w:val="single" w:color="4682B4" w:sz="18" w:space="6"/>
        </w:pBdr>
        <w:spacing w:after="16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D2536"/>
          <w:sz w:val="30"/>
          <w:szCs w:val="30"/>
        </w:rPr>
        <w:t xml:space="preserve">The Name &amp; the Creed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Alto — high, elevated.   Lumo — light, illumination.  Together: elevated light — a builder who illuminates the path, then builds the road.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Always one word, capital A and capital L: </w:t>
      </w: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D2536"/>
          <w:sz w:val="22"/>
          <w:szCs w:val="22"/>
        </w:rPr>
        <w:t xml:space="preserve">AltoLumo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. Never “Alto Lumo,” “ALTOLUMO” (except letterspaced labels), or “Altolumo.”</w:t>
      </w:r>
    </w:p>
    <w:p>
      <w:pPr>
        <w:spacing w:after="80" w:before="1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4E79"/>
          <w:sz w:val="24"/>
          <w:szCs w:val="24"/>
        </w:rPr>
        <w:t xml:space="preserve">The founder's creed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1D2536"/>
          <w:sz w:val="23"/>
          <w:szCs w:val="23"/>
        </w:rPr>
        <w:t xml:space="preserve">“I am a builder. I work with Claude and AI to streamline your efforts, build, and keep working until outcomes are delivered. That is what I do.”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/>
          <w:iCs/>
          <w:caps w:val="false"/>
          <w:color w:val="1F4E79"/>
          <w:sz w:val="23"/>
          <w:szCs w:val="23"/>
        </w:rPr>
        <w:t xml:space="preserve">“I do not just advise. I work.”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877F6F"/>
          <w:sz w:val="19"/>
          <w:szCs w:val="19"/>
        </w:rPr>
        <w:t xml:space="preserve">— Kenneth Benavides, Founder</w:t>
      </w:r>
    </w:p>
    <w:p>
      <w:r>
        <w:br w:type="page"/>
      </w:r>
    </w:p>
    <w:p>
      <w:pPr>
        <w:spacing w:after="60" w:before="2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4682B4"/>
          <w:spacing w:val="30"/>
          <w:sz w:val="17"/>
          <w:szCs w:val="17"/>
        </w:rPr>
        <w:t xml:space="preserve">03 · Identity</w:t>
      </w:r>
    </w:p>
    <w:p>
      <w:pPr>
        <w:pBdr>
          <w:bottom w:val="single" w:color="4682B4" w:sz="18" w:space="6"/>
        </w:pBdr>
        <w:spacing w:after="16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D2536"/>
          <w:sz w:val="30"/>
          <w:szCs w:val="30"/>
        </w:rPr>
        <w:t xml:space="preserve">The Logo — On White &amp; On Color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The lockup is the AL ascent-peak mark plus the two-tone wordmark: “Alto” neutral, “Lumo” steel. The mark may stand alone as a favicon or avatar. Use the correct color treatment for the background it sits on.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single" w:color="E2DCCE" w:sz="6"/>
              <w:left w:val="single" w:color="E2DCCE" w:sz="6"/>
              <w:bottom w:val="single" w:color="E2DCCE" w:sz="6"/>
              <w:right w:val="single" w:color="E2DCCE" w:sz="6"/>
            </w:tcBorders>
            <w:shd w:fill="FFFFFF" w:val="clear"/>
            <w:tcMar>
              <w:top w:type="dxa" w:w="24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1428750" cy="1371600"/>
                  <wp:effectExtent t="0" r="0" b="0" l="0"/>
                  <wp:docPr id="1" name="AltoLumoMark" descr="AltoLumo logo mark" title="AltoLu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D2536"/>
                <w:spacing w:val="-8"/>
                <w:sz w:val="32"/>
                <w:szCs w:val="32"/>
              </w:rPr>
              <w:t xml:space="preserve">Alto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682B4"/>
                <w:spacing w:val="-8"/>
                <w:sz w:val="32"/>
                <w:szCs w:val="32"/>
              </w:rPr>
              <w:t xml:space="preserve">Lumo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877F6F"/>
                <w:spacing w:val="26"/>
                <w:sz w:val="15"/>
                <w:szCs w:val="15"/>
              </w:rPr>
              <w:t xml:space="preserve">On white — ink + steel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2"/>
                <w:szCs w:val="22"/>
              </w:rPr>
              <w:t xml:space="preserve"/>
            </w:r>
          </w:p>
        </w:tc>
        <w:tc>
          <w:tcPr>
            <w:tcW w:type="dxa" w:w="4560"/>
            <w:tcBorders>
              <w:top w:val="single" w:color="1D2536" w:sz="6"/>
              <w:left w:val="single" w:color="1D2536" w:sz="6"/>
              <w:bottom w:val="single" w:color="1D2536" w:sz="6"/>
              <w:right w:val="single" w:color="1D2536" w:sz="6"/>
            </w:tcBorders>
            <w:shd w:fill="1D2536" w:val="clear"/>
            <w:tcMar>
              <w:top w:type="dxa" w:w="24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1428750" cy="1371600"/>
                  <wp:effectExtent t="0" r="0" b="0" l="0"/>
                  <wp:docPr id="1" name="AltoLumoMark" descr="AltoLumo logo mark" title="AltoLu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pacing w:val="-8"/>
                <w:sz w:val="32"/>
                <w:szCs w:val="32"/>
              </w:rPr>
              <w:t xml:space="preserve">Alto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DC3E6"/>
                <w:spacing w:val="-8"/>
                <w:sz w:val="32"/>
                <w:szCs w:val="32"/>
              </w:rPr>
              <w:t xml:space="preserve">Lumo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DC3E6"/>
                <w:spacing w:val="26"/>
                <w:sz w:val="15"/>
                <w:szCs w:val="15"/>
              </w:rPr>
              <w:t xml:space="preserve">On ink navy — white + light steel</w:t>
            </w:r>
          </w:p>
        </w:tc>
      </w:tr>
    </w:tbl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single" w:color="1F4E79" w:sz="6"/>
              <w:left w:val="single" w:color="1F4E79" w:sz="6"/>
              <w:bottom w:val="single" w:color="1F4E79" w:sz="6"/>
              <w:right w:val="single" w:color="1F4E79" w:sz="6"/>
            </w:tcBorders>
            <w:shd w:fill="1F4E79" w:val="clear"/>
            <w:tcMar>
              <w:top w:type="dxa" w:w="24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1428750" cy="1371600"/>
                  <wp:effectExtent t="0" r="0" b="0" l="0"/>
                  <wp:docPr id="1" name="AltoLumoMark" descr="AltoLumo logo mark" title="AltoLu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FFFFFF"/>
                <w:spacing w:val="-8"/>
                <w:sz w:val="32"/>
                <w:szCs w:val="32"/>
              </w:rPr>
              <w:t xml:space="preserve">Alto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DC3E6"/>
                <w:spacing w:val="-8"/>
                <w:sz w:val="32"/>
                <w:szCs w:val="32"/>
              </w:rPr>
              <w:t xml:space="preserve">Lumo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9DC3E6"/>
                <w:spacing w:val="26"/>
                <w:sz w:val="15"/>
                <w:szCs w:val="15"/>
              </w:rPr>
              <w:t xml:space="preserve">On deep steel — white + light steel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2"/>
                <w:szCs w:val="22"/>
              </w:rPr>
              <w:t xml:space="preserve"/>
            </w:r>
          </w:p>
        </w:tc>
        <w:tc>
          <w:tcPr>
            <w:tcW w:type="dxa" w:w="4560"/>
            <w:tcBorders>
              <w:top w:val="single" w:color="F2EDE3" w:sz="6"/>
              <w:left w:val="single" w:color="F2EDE3" w:sz="6"/>
              <w:bottom w:val="single" w:color="F2EDE3" w:sz="6"/>
              <w:right w:val="single" w:color="F2EDE3" w:sz="6"/>
            </w:tcBorders>
            <w:shd w:fill="F2EDE3" w:val="clear"/>
            <w:tcMar>
              <w:top w:type="dxa" w:w="240"/>
              <w:left w:type="dxa" w:w="160"/>
              <w:bottom w:type="dxa" w:w="200"/>
              <w:right w:type="dxa" w:w="160"/>
            </w:tcMar>
            <w:vAlign w:val="center"/>
          </w:tcPr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1428750" cy="1371600"/>
                  <wp:effectExtent t="0" r="0" b="0" l="0"/>
                  <wp:docPr id="1" name="AltoLumoMark" descr="AltoLumo logo mark" title="AltoLum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371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8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D2536"/>
                <w:spacing w:val="-8"/>
                <w:sz w:val="32"/>
                <w:szCs w:val="32"/>
              </w:rPr>
              <w:t xml:space="preserve">Alto</w:t>
            </w: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4682B4"/>
                <w:spacing w:val="-8"/>
                <w:sz w:val="32"/>
                <w:szCs w:val="32"/>
              </w:rPr>
              <w:t xml:space="preserve">Lumo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877F6F"/>
                <w:spacing w:val="26"/>
                <w:sz w:val="15"/>
                <w:szCs w:val="15"/>
              </w:rPr>
              <w:t xml:space="preserve">On warm tint — ink + steel</w:t>
            </w:r>
          </w:p>
        </w:tc>
      </w:tr>
    </w:tbl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/>
      </w:r>
    </w:p>
    <w:p>
      <w:pPr>
        <w:spacing w:after="80" w:before="1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4E79"/>
          <w:sz w:val="24"/>
          <w:szCs w:val="24"/>
        </w:rPr>
        <w:t xml:space="preserve">Color rules by background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D2536"/>
          <w:sz w:val="22"/>
          <w:szCs w:val="22"/>
        </w:rPr>
        <w:t xml:space="preserve">On light (Paper #FAF7F1, White, Warm Tint):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wordmark in Ink Navy + Steel Blue. This is the default lockup.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D2536"/>
          <w:sz w:val="22"/>
          <w:szCs w:val="22"/>
        </w:rPr>
        <w:t xml:space="preserve">On dark (Ink Navy #1D2536, Deep Steel #1F4E79):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wordmark in White + Light Steel #9DC3E6. Used in the hero, footer, and dark cards.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D2536"/>
          <w:sz w:val="22"/>
          <w:szCs w:val="22"/>
        </w:rPr>
        <w:t xml:space="preserve">The AL mark itself is background-agnostic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— the same steel-gradient art sits on white or on ink navy (it is the favicon on ink navy).</w:t>
      </w:r>
    </w:p>
    <w:p>
      <w:pPr>
        <w:spacing w:after="80" w:before="1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4E79"/>
          <w:sz w:val="24"/>
          <w:szCs w:val="24"/>
        </w:rPr>
        <w:t xml:space="preserve">Clearspace &amp; sizing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Clearspace = the height of the “A” on all sides. Keep it clear of other elements.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Mark scales from a 16px favicon to hero size; wordmark minimum 24px / 0.35 in.</w:t>
      </w:r>
    </w:p>
    <w:p>
      <w:pPr>
        <w:spacing w:after="80" w:before="1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4E79"/>
          <w:sz w:val="24"/>
          <w:szCs w:val="24"/>
        </w:rPr>
        <w:t xml:space="preserve">Don't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Outline it, shadow it, or add a glow.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Set it in serif or mono, or recolor it outside the palette.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Break it into two words, or letterspace the wordmark.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77F6F"/>
          <w:sz w:val="19"/>
          <w:szCs w:val="19"/>
        </w:rPr>
        <w:t xml:space="preserve">Source art: assets/altolumo-mark.svg / .png (mark) and the two-tone wordmark. Mark alone for avatars and favicons.</w:t>
      </w:r>
    </w:p>
    <w:p>
      <w:r>
        <w:br w:type="page"/>
      </w:r>
    </w:p>
    <w:p>
      <w:pPr>
        <w:spacing w:after="60" w:before="2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4682B4"/>
          <w:spacing w:val="30"/>
          <w:sz w:val="17"/>
          <w:szCs w:val="17"/>
        </w:rPr>
        <w:t xml:space="preserve">04 · Identity</w:t>
      </w:r>
    </w:p>
    <w:p>
      <w:pPr>
        <w:pBdr>
          <w:bottom w:val="single" w:color="4682B4" w:sz="18" w:space="6"/>
        </w:pBdr>
        <w:spacing w:after="16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D2536"/>
          <w:sz w:val="30"/>
          <w:szCs w:val="30"/>
        </w:rPr>
        <w:t xml:space="preserve">Color System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Paper dominates, steel is scarce. If Steel Blue exceeds ~10% of a layout it stops reading as an accent. Hex values are canonical — copy them exactly. They match the live site (altolumo.com) CSS variables.</w:t>
      </w:r>
    </w:p>
    <w:p>
      <w:pPr>
        <w:spacing w:after="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100"/>
        <w:gridCol w:w="6360"/>
      </w:tblGrid>
      <w:tr>
        <w:tc>
          <w:tcPr>
            <w:tcW w:type="dxa" w:w="9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shd w:fill="FAF7F1" w:val="clear"/>
            <w:tcMar>
              <w:top w:type="dxa" w:w="180"/>
              <w:left w:type="dxa" w:w="80"/>
              <w:bottom w:type="dxa" w:w="180"/>
              <w:right w:type="dxa" w:w="8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D2536"/>
                <w:sz w:val="21"/>
                <w:szCs w:val="21"/>
              </w:rPr>
              <w:t xml:space="preserve">Paper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77F6F"/>
                <w:sz w:val="18"/>
                <w:szCs w:val="18"/>
              </w:rPr>
              <w:t xml:space="preserve">#FAF7F1</w:t>
            </w:r>
          </w:p>
        </w:tc>
        <w:tc>
          <w:tcPr>
            <w:tcW w:type="dxa" w:w="636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0"/>
                <w:szCs w:val="20"/>
              </w:rPr>
              <w:t xml:space="preserve">Canvas — the default background. ~60% of any layout.</w:t>
            </w:r>
          </w:p>
        </w:tc>
      </w:tr>
      <w:tr>
        <w:tc>
          <w:tcPr>
            <w:tcW w:type="dxa" w:w="9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shd w:fill="FFFFFF" w:val="clear"/>
            <w:tcMar>
              <w:top w:type="dxa" w:w="180"/>
              <w:left w:type="dxa" w:w="80"/>
              <w:bottom w:type="dxa" w:w="180"/>
              <w:right w:type="dxa" w:w="8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D2536"/>
                <w:sz w:val="21"/>
                <w:szCs w:val="21"/>
              </w:rPr>
              <w:t xml:space="preserve">White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77F6F"/>
                <w:sz w:val="18"/>
                <w:szCs w:val="18"/>
              </w:rPr>
              <w:t xml:space="preserve">#FFFFFF</w:t>
            </w:r>
          </w:p>
        </w:tc>
        <w:tc>
          <w:tcPr>
            <w:tcW w:type="dxa" w:w="636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0"/>
                <w:szCs w:val="20"/>
              </w:rPr>
              <w:t xml:space="preserve">Cards and content surfaces on paper. ~20%.</w:t>
            </w:r>
          </w:p>
        </w:tc>
      </w:tr>
      <w:tr>
        <w:tc>
          <w:tcPr>
            <w:tcW w:type="dxa" w:w="9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shd w:fill="1D2536" w:val="clear"/>
            <w:tcMar>
              <w:top w:type="dxa" w:w="180"/>
              <w:left w:type="dxa" w:w="80"/>
              <w:bottom w:type="dxa" w:w="180"/>
              <w:right w:type="dxa" w:w="8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D2536"/>
                <w:sz w:val="21"/>
                <w:szCs w:val="21"/>
              </w:rPr>
              <w:t xml:space="preserve">Ink Navy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77F6F"/>
                <w:sz w:val="18"/>
                <w:szCs w:val="18"/>
              </w:rPr>
              <w:t xml:space="preserve">#1D2536</w:t>
            </w:r>
          </w:p>
        </w:tc>
        <w:tc>
          <w:tcPr>
            <w:tcW w:type="dxa" w:w="636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0"/>
                <w:szCs w:val="20"/>
              </w:rPr>
              <w:t xml:space="preserve">Dark sections, headlines, cover slides. ~15%. The darkest value — never pure black.</w:t>
            </w:r>
          </w:p>
        </w:tc>
      </w:tr>
      <w:tr>
        <w:tc>
          <w:tcPr>
            <w:tcW w:type="dxa" w:w="9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shd w:fill="4682B4" w:val="clear"/>
            <w:tcMar>
              <w:top w:type="dxa" w:w="180"/>
              <w:left w:type="dxa" w:w="80"/>
              <w:bottom w:type="dxa" w:w="180"/>
              <w:right w:type="dxa" w:w="8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D2536"/>
                <w:sz w:val="21"/>
                <w:szCs w:val="21"/>
              </w:rPr>
              <w:t xml:space="preserve">Steel Blue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77F6F"/>
                <w:sz w:val="18"/>
                <w:szCs w:val="18"/>
              </w:rPr>
              <w:t xml:space="preserve">#4682B4</w:t>
            </w:r>
          </w:p>
        </w:tc>
        <w:tc>
          <w:tcPr>
            <w:tcW w:type="dxa" w:w="636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0"/>
                <w:szCs w:val="20"/>
              </w:rPr>
              <w:t xml:space="preserve">The accent: buttons, links, labels, emphasis. ~5%.</w:t>
            </w:r>
          </w:p>
        </w:tc>
      </w:tr>
      <w:tr>
        <w:tc>
          <w:tcPr>
            <w:tcW w:type="dxa" w:w="9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shd w:fill="1F4E79" w:val="clear"/>
            <w:tcMar>
              <w:top w:type="dxa" w:w="180"/>
              <w:left w:type="dxa" w:w="80"/>
              <w:bottom w:type="dxa" w:w="180"/>
              <w:right w:type="dxa" w:w="8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D2536"/>
                <w:sz w:val="21"/>
                <w:szCs w:val="21"/>
              </w:rPr>
              <w:t xml:space="preserve">Deep Steel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77F6F"/>
                <w:sz w:val="18"/>
                <w:szCs w:val="18"/>
              </w:rPr>
              <w:t xml:space="preserve">#1F4E79</w:t>
            </w:r>
          </w:p>
        </w:tc>
        <w:tc>
          <w:tcPr>
            <w:tcW w:type="dxa" w:w="636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0"/>
                <w:szCs w:val="20"/>
              </w:rPr>
              <w:t xml:space="preserve">Hover states, dark cards, depth behind steel.</w:t>
            </w:r>
          </w:p>
        </w:tc>
      </w:tr>
      <w:tr>
        <w:tc>
          <w:tcPr>
            <w:tcW w:type="dxa" w:w="9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shd w:fill="9DC3E6" w:val="clear"/>
            <w:tcMar>
              <w:top w:type="dxa" w:w="180"/>
              <w:left w:type="dxa" w:w="80"/>
              <w:bottom w:type="dxa" w:w="180"/>
              <w:right w:type="dxa" w:w="8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D2536"/>
                <w:sz w:val="21"/>
                <w:szCs w:val="21"/>
              </w:rPr>
              <w:t xml:space="preserve">Light Steel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77F6F"/>
                <w:sz w:val="18"/>
                <w:szCs w:val="18"/>
              </w:rPr>
              <w:t xml:space="preserve">#9DC3E6</w:t>
            </w:r>
          </w:p>
        </w:tc>
        <w:tc>
          <w:tcPr>
            <w:tcW w:type="dxa" w:w="636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0"/>
                <w:szCs w:val="20"/>
              </w:rPr>
              <w:t xml:space="preserve">Accents and wordmark on dark backgrounds.</w:t>
            </w:r>
          </w:p>
        </w:tc>
      </w:tr>
      <w:tr>
        <w:tc>
          <w:tcPr>
            <w:tcW w:type="dxa" w:w="9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shd w:fill="F2EDE3" w:val="clear"/>
            <w:tcMar>
              <w:top w:type="dxa" w:w="180"/>
              <w:left w:type="dxa" w:w="80"/>
              <w:bottom w:type="dxa" w:w="180"/>
              <w:right w:type="dxa" w:w="8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D2536"/>
                <w:sz w:val="21"/>
                <w:szCs w:val="21"/>
              </w:rPr>
              <w:t xml:space="preserve">Warm Tint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77F6F"/>
                <w:sz w:val="18"/>
                <w:szCs w:val="18"/>
              </w:rPr>
              <w:t xml:space="preserve">#F2EDE3</w:t>
            </w:r>
          </w:p>
        </w:tc>
        <w:tc>
          <w:tcPr>
            <w:tcW w:type="dxa" w:w="636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0"/>
                <w:szCs w:val="20"/>
              </w:rPr>
              <w:t xml:space="preserve">Section bands and subtle fills on paper.</w:t>
            </w:r>
          </w:p>
        </w:tc>
      </w:tr>
      <w:tr>
        <w:tc>
          <w:tcPr>
            <w:tcW w:type="dxa" w:w="9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shd w:fill="E2DCCE" w:val="clear"/>
            <w:tcMar>
              <w:top w:type="dxa" w:w="180"/>
              <w:left w:type="dxa" w:w="80"/>
              <w:bottom w:type="dxa" w:w="180"/>
              <w:right w:type="dxa" w:w="8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D2536"/>
                <w:sz w:val="21"/>
                <w:szCs w:val="21"/>
              </w:rPr>
              <w:t xml:space="preserve">Hairline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77F6F"/>
                <w:sz w:val="18"/>
                <w:szCs w:val="18"/>
              </w:rPr>
              <w:t xml:space="preserve">#E2DCCE</w:t>
            </w:r>
          </w:p>
        </w:tc>
        <w:tc>
          <w:tcPr>
            <w:tcW w:type="dxa" w:w="636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0"/>
                <w:szCs w:val="20"/>
              </w:rPr>
              <w:t xml:space="preserve">Card and table borders (1px).</w:t>
            </w:r>
          </w:p>
        </w:tc>
      </w:tr>
      <w:tr>
        <w:tc>
          <w:tcPr>
            <w:tcW w:type="dxa" w:w="9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shd w:fill="3B4150" w:val="clear"/>
            <w:tcMar>
              <w:top w:type="dxa" w:w="180"/>
              <w:left w:type="dxa" w:w="80"/>
              <w:bottom w:type="dxa" w:w="180"/>
              <w:right w:type="dxa" w:w="80"/>
            </w:tcMar>
          </w:tcPr>
          <w:p>
            <w:pPr>
              <w:spacing w:after="12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2"/>
                <w:szCs w:val="22"/>
              </w:rPr>
              <w:t xml:space="preserve"/>
            </w:r>
          </w:p>
        </w:tc>
        <w:tc>
          <w:tcPr>
            <w:tcW w:type="dxa" w:w="21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80"/>
              <w:left w:type="dxa" w:w="140"/>
              <w:bottom w:type="dxa" w:w="8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D2536"/>
                <w:sz w:val="21"/>
                <w:szCs w:val="21"/>
              </w:rPr>
              <w:t xml:space="preserve">Body Text</w:t>
            </w:r>
          </w:p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877F6F"/>
                <w:sz w:val="18"/>
                <w:szCs w:val="18"/>
              </w:rPr>
              <w:t xml:space="preserve">#3B4150</w:t>
            </w:r>
          </w:p>
        </w:tc>
        <w:tc>
          <w:tcPr>
            <w:tcW w:type="dxa" w:w="636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0"/>
                <w:szCs w:val="20"/>
              </w:rPr>
              <w:t xml:space="preserve">Body copy on light. On dark, use #D9E2EF or lighter.</w:t>
            </w:r>
          </w:p>
        </w:tc>
      </w:tr>
    </w:tbl>
    <w:p>
      <w:pPr>
        <w:spacing w:after="120" w:before="12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77F6F"/>
          <w:sz w:val="19"/>
          <w:szCs w:val="19"/>
        </w:rPr>
        <w:t xml:space="preserve">Accessibility: every combination must stay readable in black or white. Body is #3B4150 on light, #D9E2EF+ on dark.</w:t>
      </w:r>
    </w:p>
    <w:p>
      <w:r>
        <w:br w:type="page"/>
      </w:r>
    </w:p>
    <w:p>
      <w:pPr>
        <w:spacing w:after="60" w:before="2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4682B4"/>
          <w:spacing w:val="30"/>
          <w:sz w:val="17"/>
          <w:szCs w:val="17"/>
        </w:rPr>
        <w:t xml:space="preserve">05 · Identity</w:t>
      </w:r>
    </w:p>
    <w:p>
      <w:pPr>
        <w:pBdr>
          <w:bottom w:val="single" w:color="4682B4" w:sz="18" w:space="6"/>
        </w:pBdr>
        <w:spacing w:after="16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D2536"/>
          <w:sz w:val="30"/>
          <w:szCs w:val="30"/>
        </w:rPr>
        <w:t xml:space="preserve">Typography</w:t>
      </w:r>
    </w:p>
    <w:p>
      <w:pPr>
        <w:spacing w:after="80" w:before="1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4E79"/>
          <w:sz w:val="24"/>
          <w:szCs w:val="24"/>
        </w:rPr>
        <w:t xml:space="preserve">Web — Inter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Display: Inter 800, tight tracking (-.02em).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Body: Inter 400/500, 16.5px base, 1.7 line height.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Labels: Inter 700, 11–12px, +.14 to +.22em tracking, UPPERCASE.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Load via Google Fonts (site &lt;head&gt;).</w:t>
      </w:r>
    </w:p>
    <w:p>
      <w:pPr>
        <w:spacing w:after="80" w:before="1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4E79"/>
          <w:sz w:val="24"/>
          <w:szCs w:val="24"/>
        </w:rPr>
        <w:t xml:space="preserve">Office — Calibri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Decks &amp; docs: Calibri throughout (Aptos-style clarity, installed everywhere). This document is set in Calibri.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Titles 27–44pt bold · body 9.5–14pt · labels 8–10pt bold letterspaced caps.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If Aptos is available in your Office build, it may substitute 1:1 for Calibri.</w:t>
      </w:r>
    </w:p>
    <w:p>
      <w:pPr>
        <w:spacing w:after="120" w:before="120" w:line="276"/>
        <w:jc w:val="left"/>
      </w:pPr>
      <w:r>
        <w:rPr>
          <w:rFonts w:ascii="Calibri" w:cs="Calibri" w:eastAsia="Calibri" w:hAnsi="Calibri"/>
          <w:b/>
          <w:bCs/>
          <w:i/>
          <w:iCs/>
          <w:caps w:val="false"/>
          <w:color w:val="1F4E79"/>
          <w:sz w:val="20"/>
          <w:szCs w:val="20"/>
        </w:rPr>
        <w:t xml:space="preserve">Hard rule from the founder: no serif display faces, no typewriter / mono faces, anywhere. Clean modern sans only, readable in black or white.</w:t>
      </w:r>
    </w:p>
    <w:p>
      <w:pPr>
        <w:spacing w:after="60" w:before="2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4682B4"/>
          <w:spacing w:val="30"/>
          <w:sz w:val="17"/>
          <w:szCs w:val="17"/>
        </w:rPr>
        <w:t xml:space="preserve">06 · Language</w:t>
      </w:r>
    </w:p>
    <w:p>
      <w:pPr>
        <w:pBdr>
          <w:bottom w:val="single" w:color="4682B4" w:sz="18" w:space="6"/>
        </w:pBdr>
        <w:spacing w:after="16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D2536"/>
          <w:sz w:val="30"/>
          <w:szCs w:val="30"/>
        </w:rPr>
        <w:t xml:space="preserve">Voice &amp; Tone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4E79"/>
          <w:sz w:val="22"/>
          <w:szCs w:val="22"/>
        </w:rPr>
        <w:t xml:space="preserve">Builder-first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First person, active verbs. “I manage the projects, the people, the sprints, and the delivery outcomes.” Never hide behind “we leverage synergies.”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4E79"/>
          <w:sz w:val="22"/>
          <w:szCs w:val="22"/>
        </w:rPr>
        <w:t xml:space="preserve">Plain terms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5th–7th grade clarity sells at this level. Name the audience, the problem, and the outcome in one breath. Explain the hard thing simply, then build it.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4E79"/>
          <w:sz w:val="22"/>
          <w:szCs w:val="22"/>
        </w:rPr>
        <w:t xml:space="preserve">Proof over promises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Numbers and shipped work: 15+ organizations, $30M programs, 183% revenue growth, MVP to paying-customer-ready in four weeks.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4E79"/>
          <w:sz w:val="22"/>
          <w:szCs w:val="22"/>
        </w:rPr>
        <w:t xml:space="preserve">Calm confidence —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Direct, warm, never salesy or breathless. No exclamation points. The discovery session is free because the work speaks.</w:t>
      </w:r>
    </w:p>
    <w:p>
      <w:pPr>
        <w:spacing w:after="120" w:before="6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77F6F"/>
          <w:sz w:val="19"/>
          <w:szCs w:val="19"/>
        </w:rPr>
        <w:t xml:space="preserve">When in doubt, read it aloud: if it sounds like a consultant wrote it, rewrite it.</w:t>
      </w:r>
    </w:p>
    <w:p>
      <w:r>
        <w:br w:type="page"/>
      </w:r>
    </w:p>
    <w:p>
      <w:pPr>
        <w:spacing w:after="60" w:before="2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4682B4"/>
          <w:spacing w:val="30"/>
          <w:sz w:val="17"/>
          <w:szCs w:val="17"/>
        </w:rPr>
        <w:t xml:space="preserve">07 · Language</w:t>
      </w:r>
    </w:p>
    <w:p>
      <w:pPr>
        <w:pBdr>
          <w:bottom w:val="single" w:color="4682B4" w:sz="18" w:space="6"/>
        </w:pBdr>
        <w:spacing w:after="16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D2536"/>
          <w:sz w:val="30"/>
          <w:szCs w:val="30"/>
        </w:rPr>
        <w:t xml:space="preserve">Messaging Pillars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Every asset leads with ONE pillar, not all six.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c>
          <w:tcPr>
            <w:tcW w:type="dxa" w:w="8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shd w:fill="1D253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DC3E6"/>
                <w:sz w:val="24"/>
                <w:szCs w:val="24"/>
              </w:rPr>
              <w:t xml:space="preserve">01</w:t>
            </w:r>
          </w:p>
        </w:tc>
        <w:tc>
          <w:tcPr>
            <w:tcW w:type="dxa" w:w="36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D2536"/>
                <w:sz w:val="22"/>
                <w:szCs w:val="22"/>
              </w:rPr>
              <w:t xml:space="preserve">We build. You grow.</w:t>
            </w:r>
          </w:p>
        </w:tc>
        <w:tc>
          <w:tcPr>
            <w:tcW w:type="dxa" w:w="496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0"/>
                <w:szCs w:val="20"/>
              </w:rPr>
              <w:t xml:space="preserve">The tagline. Opens the site, closes the deck.</w:t>
            </w:r>
          </w:p>
        </w:tc>
      </w:tr>
      <w:tr>
        <w:tc>
          <w:tcPr>
            <w:tcW w:type="dxa" w:w="8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shd w:fill="1D253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DC3E6"/>
                <w:sz w:val="24"/>
                <w:szCs w:val="24"/>
              </w:rPr>
              <w:t xml:space="preserve">02</w:t>
            </w:r>
          </w:p>
        </w:tc>
        <w:tc>
          <w:tcPr>
            <w:tcW w:type="dxa" w:w="36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D2536"/>
                <w:sz w:val="22"/>
                <w:szCs w:val="22"/>
              </w:rPr>
              <w:t xml:space="preserve">Two full seats, one builder.</w:t>
            </w:r>
          </w:p>
        </w:tc>
        <w:tc>
          <w:tcPr>
            <w:tcW w:type="dxa" w:w="496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0"/>
                <w:szCs w:val="20"/>
              </w:rPr>
              <w:t xml:space="preserve">CTO + COO responsibilities, on fractional terms.</w:t>
            </w:r>
          </w:p>
        </w:tc>
      </w:tr>
      <w:tr>
        <w:tc>
          <w:tcPr>
            <w:tcW w:type="dxa" w:w="8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shd w:fill="1D253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DC3E6"/>
                <w:sz w:val="24"/>
                <w:szCs w:val="24"/>
              </w:rPr>
              <w:t xml:space="preserve">03</w:t>
            </w:r>
          </w:p>
        </w:tc>
        <w:tc>
          <w:tcPr>
            <w:tcW w:type="dxa" w:w="36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D2536"/>
                <w:sz w:val="22"/>
                <w:szCs w:val="22"/>
              </w:rPr>
              <w:t xml:space="preserve">Executive weight, without executive payroll.</w:t>
            </w:r>
          </w:p>
        </w:tc>
        <w:tc>
          <w:tcPr>
            <w:tcW w:type="dxa" w:w="496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0"/>
                <w:szCs w:val="20"/>
              </w:rPr>
              <w:t xml:space="preserve">The economic argument — 60–80% below full-time cost.</w:t>
            </w:r>
          </w:p>
        </w:tc>
      </w:tr>
      <w:tr>
        <w:tc>
          <w:tcPr>
            <w:tcW w:type="dxa" w:w="8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shd w:fill="1D253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DC3E6"/>
                <w:sz w:val="24"/>
                <w:szCs w:val="24"/>
              </w:rPr>
              <w:t xml:space="preserve">04</w:t>
            </w:r>
          </w:p>
        </w:tc>
        <w:tc>
          <w:tcPr>
            <w:tcW w:type="dxa" w:w="36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D2536"/>
                <w:sz w:val="22"/>
                <w:szCs w:val="22"/>
              </w:rPr>
              <w:t xml:space="preserve">Human judgment, machine speed.</w:t>
            </w:r>
          </w:p>
        </w:tc>
        <w:tc>
          <w:tcPr>
            <w:tcW w:type="dxa" w:w="496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0"/>
                <w:szCs w:val="20"/>
              </w:rPr>
              <w:t xml:space="preserve">The Claude / AI multiplier — days, not quarters.</w:t>
            </w:r>
          </w:p>
        </w:tc>
      </w:tr>
      <w:tr>
        <w:tc>
          <w:tcPr>
            <w:tcW w:type="dxa" w:w="8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shd w:fill="1D253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DC3E6"/>
                <w:sz w:val="24"/>
                <w:szCs w:val="24"/>
              </w:rPr>
              <w:t xml:space="preserve">05</w:t>
            </w:r>
          </w:p>
        </w:tc>
        <w:tc>
          <w:tcPr>
            <w:tcW w:type="dxa" w:w="36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D2536"/>
                <w:sz w:val="22"/>
                <w:szCs w:val="22"/>
              </w:rPr>
              <w:t xml:space="preserve">90 days to clarity.</w:t>
            </w:r>
          </w:p>
        </w:tc>
        <w:tc>
          <w:tcPr>
            <w:tcW w:type="dxa" w:w="496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0"/>
                <w:szCs w:val="20"/>
              </w:rPr>
              <w:t xml:space="preserve">Discovery → plan → build → outcome. The promise.</w:t>
            </w:r>
          </w:p>
        </w:tc>
      </w:tr>
      <w:tr>
        <w:tc>
          <w:tcPr>
            <w:tcW w:type="dxa" w:w="8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shd w:fill="1D2536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9DC3E6"/>
                <w:sz w:val="24"/>
                <w:szCs w:val="24"/>
              </w:rPr>
              <w:t xml:space="preserve">06</w:t>
            </w:r>
          </w:p>
        </w:tc>
        <w:tc>
          <w:tcPr>
            <w:tcW w:type="dxa" w:w="360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100"/>
              <w:left w:type="dxa" w:w="140"/>
              <w:bottom w:type="dxa" w:w="100"/>
              <w:right w:type="dxa" w:w="12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 w:val="false"/>
                <w:color w:val="1D2536"/>
                <w:sz w:val="22"/>
                <w:szCs w:val="22"/>
              </w:rPr>
              <w:t xml:space="preserve">The work is public. Go look.</w:t>
            </w:r>
          </w:p>
        </w:tc>
        <w:tc>
          <w:tcPr>
            <w:tcW w:type="dxa" w:w="496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spacing w:after="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0"/>
                <w:szCs w:val="20"/>
              </w:rPr>
              <w:t xml:space="preserve">Proof: 15+ clients, GitHub, kajiro.org.</w:t>
            </w:r>
          </w:p>
        </w:tc>
      </w:tr>
    </w:tbl>
    <w:p>
      <w:pPr>
        <w:spacing w:after="120" w:before="12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77F6F"/>
          <w:sz w:val="19"/>
          <w:szCs w:val="19"/>
        </w:rPr>
        <w:t xml:space="preserve">Landing hero = 01 + 04.  Pitch deck Part 2 = 03 + 06.  Social rotates through them. The Factory narrative (Today → Agentic; lanes Small / Medium / Consulting) is the strategic frame behind pillar 04.</w:t>
      </w:r>
    </w:p>
    <w:p>
      <w:r>
        <w:br w:type="page"/>
      </w:r>
    </w:p>
    <w:p>
      <w:pPr>
        <w:spacing w:after="60" w:before="2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4682B4"/>
          <w:spacing w:val="30"/>
          <w:sz w:val="17"/>
          <w:szCs w:val="17"/>
        </w:rPr>
        <w:t xml:space="preserve">08 · Identity</w:t>
      </w:r>
    </w:p>
    <w:p>
      <w:pPr>
        <w:pBdr>
          <w:bottom w:val="single" w:color="4682B4" w:sz="18" w:space="6"/>
        </w:pBdr>
        <w:spacing w:after="16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D2536"/>
          <w:sz w:val="30"/>
          <w:szCs w:val="30"/>
        </w:rPr>
        <w:t xml:space="preserve">Imagery &amp; Photography</w:t>
      </w:r>
    </w:p>
    <w:p>
      <w:pPr>
        <w:spacing w:after="80" w:before="1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4E79"/>
          <w:sz w:val="24"/>
          <w:szCs w:val="24"/>
        </w:rPr>
        <w:t xml:space="preserve">What we show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Real work: strategy sessions, whiteboards, teams building — editorial, candid, natural light.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Kenneth's portrait: professional, warm, working — not a suit-and-handshake stock pose.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Source: Pexels (free license) until brand photography exists.</w:t>
      </w:r>
    </w:p>
    <w:p>
      <w:pPr>
        <w:spacing w:after="80" w:before="18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F4E79"/>
          <w:sz w:val="24"/>
          <w:szCs w:val="24"/>
        </w:rPr>
        <w:t xml:space="preserve">Treatment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Slightly desaturated (~85%) so photos sit behind the palette, not against it.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Ink-navy gradient scrim on the lower third when text overlays.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Rounded 14px corners + 1px warm hairline border — same radius as cards.</w:t>
      </w:r>
    </w:p>
    <w:p>
      <w:pPr>
        <w:spacing w:after="120" w:before="100" w:line="276"/>
        <w:jc w:val="left"/>
      </w:pPr>
      <w:r>
        <w:rPr>
          <w:rFonts w:ascii="Calibri" w:cs="Calibri" w:eastAsia="Calibri" w:hAnsi="Calibri"/>
          <w:b/>
          <w:bCs/>
          <w:i/>
          <w:iCs/>
          <w:caps w:val="false"/>
          <w:color w:val="1F4E79"/>
          <w:sz w:val="20"/>
          <w:szCs w:val="20"/>
        </w:rPr>
        <w:t xml:space="preserve">Never: neon AI-brain clip art, robots, glowing circuits, or generic handshakes.</w:t>
      </w:r>
    </w:p>
    <w:p>
      <w:pPr>
        <w:spacing w:after="60" w:before="2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4682B4"/>
          <w:spacing w:val="30"/>
          <w:sz w:val="17"/>
          <w:szCs w:val="17"/>
        </w:rPr>
        <w:t xml:space="preserve">09 · System</w:t>
      </w:r>
    </w:p>
    <w:p>
      <w:pPr>
        <w:pBdr>
          <w:bottom w:val="single" w:color="4682B4" w:sz="18" w:space="6"/>
        </w:pBdr>
        <w:spacing w:after="16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D2536"/>
          <w:sz w:val="30"/>
          <w:szCs w:val="30"/>
        </w:rPr>
        <w:t xml:space="preserve">UI Components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D2536"/>
          <w:sz w:val="22"/>
          <w:szCs w:val="22"/>
        </w:rPr>
        <w:t xml:space="preserve">Buttons: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pill shape (999px). Primary = steel, hover = deep steel. Ghost = hairline border.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D2536"/>
          <w:sz w:val="22"/>
          <w:szCs w:val="22"/>
        </w:rPr>
        <w:t xml:space="preserve">Section labels: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numbered, uppercase, letterspaced steel (“01 · THE PRACTICE”), with a 56×3px steel rule under intros.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D2536"/>
          <w:sz w:val="22"/>
          <w:szCs w:val="22"/>
        </w:rPr>
        <w:t xml:space="preserve">Cards: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white on paper, 1px #E2DCCE border, 14px radius. Hover: steel border + soft ink shadow + 2px lift. Dark cards use #27334B with #3D4A63 borders.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D2536"/>
          <w:sz w:val="22"/>
          <w:szCs w:val="22"/>
        </w:rPr>
        <w:t xml:space="preserve">Stats &amp; chips: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oversized 800-weight number + small-caps label; chips = bold name + muted one-line descriptor.</w:t>
      </w:r>
    </w:p>
    <w:p>
      <w:pPr>
        <w:pStyle w:val="ListParagraph"/>
        <w:numPr>
          <w:ilvl w:val="0"/>
          <w:numId w:val="2"/>
        </w:numPr>
        <w:spacing w:after="60" w:line="268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D2536"/>
          <w:sz w:val="22"/>
          <w:szCs w:val="22"/>
        </w:rPr>
        <w:t xml:space="preserve">Bullet dots: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>8px steel circles — never dashes or arrows.</w:t>
      </w:r>
    </w:p>
    <w:p>
      <w:pPr>
        <w:spacing w:after="120" w:before="100" w:line="276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77F6F"/>
          <w:sz w:val="19"/>
          <w:szCs w:val="19"/>
        </w:rPr>
        <w:t xml:space="preserve">All components exist as working CSS in the site source (index.html) — copy from there rather than rebuilding.</w:t>
      </w:r>
    </w:p>
    <w:p>
      <w:r>
        <w:br w:type="page"/>
      </w:r>
    </w:p>
    <w:p>
      <w:pPr>
        <w:spacing w:after="60" w:before="2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4682B4"/>
          <w:spacing w:val="30"/>
          <w:sz w:val="17"/>
          <w:szCs w:val="17"/>
        </w:rPr>
        <w:t xml:space="preserve">10 · System</w:t>
      </w:r>
    </w:p>
    <w:p>
      <w:pPr>
        <w:pBdr>
          <w:bottom w:val="single" w:color="4682B4" w:sz="18" w:space="6"/>
        </w:pBdr>
        <w:spacing w:after="16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D2536"/>
          <w:sz w:val="30"/>
          <w:szCs w:val="30"/>
        </w:rPr>
        <w:t xml:space="preserve">Do &amp; Don't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60"/>
        <w:gridCol w:w="240"/>
        <w:gridCol w:w="4560"/>
      </w:tblGrid>
      <w:tr>
        <w:tc>
          <w:tcPr>
            <w:tcW w:type="dxa" w:w="456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shd w:fill="FFFFFF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1F4E79"/>
                <w:spacing w:val="20"/>
                <w:sz w:val="22"/>
                <w:szCs w:val="22"/>
              </w:rPr>
              <w:t xml:space="preserve">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0"/>
                <w:szCs w:val="20"/>
              </w:rPr>
              <w:t xml:space="preserve">Lead with outcomes and numbers.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0"/>
                <w:szCs w:val="20"/>
              </w:rPr>
              <w:t xml:space="preserve">Keep steel blue scarce — it's the accent, not the theme.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0"/>
                <w:szCs w:val="20"/>
              </w:rPr>
              <w:t xml:space="preserve">Write in Kenneth's first-person voice.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0"/>
                <w:szCs w:val="20"/>
              </w:rPr>
              <w:t xml:space="preserve">Use the canonical lines verbatim (section 01).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0"/>
                <w:szCs w:val="20"/>
              </w:rPr>
              <w:t xml:space="preserve">Keep dark sections ink navy, light sections paper.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0"/>
                <w:szCs w:val="20"/>
              </w:rPr>
              <w:t xml:space="preserve">Copy CSS / components from the live site file.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120" w:before="0" w:line="276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2"/>
                <w:szCs w:val="22"/>
              </w:rPr>
              <w:t xml:space="preserve"/>
            </w:r>
          </w:p>
        </w:tc>
        <w:tc>
          <w:tcPr>
            <w:tcW w:type="dxa" w:w="4560"/>
            <w:tcBorders>
              <w:top w:val="single" w:color="E2DCCE" w:sz="4"/>
              <w:left w:val="single" w:color="E2DCCE" w:sz="4"/>
              <w:bottom w:val="single" w:color="E2DCCE" w:sz="4"/>
              <w:right w:val="single" w:color="E2DCCE" w:sz="4"/>
            </w:tcBorders>
            <w:shd w:fill="F2EDE3" w:val="clear"/>
            <w:tcMar>
              <w:top w:type="dxa" w:w="160"/>
              <w:left w:type="dxa" w:w="180"/>
              <w:bottom w:type="dxa" w:w="160"/>
              <w:right w:type="dxa" w:w="180"/>
            </w:tcMar>
            <w:vAlign w:val="top"/>
          </w:tcPr>
          <w:p>
            <w:pPr>
              <w:spacing w:after="100" w:before="0" w:line="276"/>
              <w:jc w:val="left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aps/>
                <w:color w:val="1F4E79"/>
                <w:spacing w:val="20"/>
                <w:sz w:val="22"/>
                <w:szCs w:val="22"/>
              </w:rPr>
              <w:t xml:space="preserve">Don't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0"/>
                <w:szCs w:val="20"/>
              </w:rPr>
              <w:t xml:space="preserve">No serif display or typewriter / mono fonts — ever.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0"/>
                <w:szCs w:val="20"/>
              </w:rPr>
              <w:t xml:space="preserve">No pure black (#000) — ink navy is the darkest value.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0"/>
                <w:szCs w:val="20"/>
              </w:rPr>
              <w:t xml:space="preserve">No AI clip art: brains, robots, glowing circuits.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0"/>
                <w:szCs w:val="20"/>
              </w:rPr>
              <w:t xml:space="preserve">No consultant-speak: leverage, synergy, best-in-class.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0"/>
                <w:szCs w:val="20"/>
              </w:rPr>
              <w:t xml:space="preserve">No exclamation points, no breathless claims.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70" w:line="264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aps w:val="false"/>
                <w:color w:val="3B4150"/>
                <w:sz w:val="20"/>
                <w:szCs w:val="20"/>
              </w:rPr>
              <w:t xml:space="preserve">No new colors, fonts, or taglines without updating this book.</w:t>
            </w:r>
          </w:p>
        </w:tc>
      </w:tr>
    </w:tbl>
    <w:p>
      <w:pPr>
        <w:spacing w:after="60" w:before="22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4682B4"/>
          <w:spacing w:val="30"/>
          <w:sz w:val="17"/>
          <w:szCs w:val="17"/>
        </w:rPr>
        <w:t xml:space="preserve">11 · System</w:t>
      </w:r>
    </w:p>
    <w:p>
      <w:pPr>
        <w:pBdr>
          <w:bottom w:val="single" w:color="4682B4" w:sz="18" w:space="6"/>
        </w:pBdr>
        <w:spacing w:after="160" w:before="40" w:line="300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D2536"/>
          <w:sz w:val="30"/>
          <w:szCs w:val="30"/>
        </w:rPr>
        <w:t xml:space="preserve">Assets, Domains &amp; Wiring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4682B4"/>
          <w:spacing w:val="18"/>
          <w:sz w:val="19"/>
          <w:szCs w:val="19"/>
        </w:rPr>
        <w:t xml:space="preserve">Domain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1"/>
          <w:szCs w:val="21"/>
        </w:rPr>
        <w:t xml:space="preserve">altolumo.com — canonical URL for all links and metadata. Hosted on Vercel; DNS &amp; email via Javelina. Live build: web-altolumo.vercel.app.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4682B4"/>
          <w:spacing w:val="18"/>
          <w:sz w:val="19"/>
          <w:szCs w:val="19"/>
        </w:rPr>
        <w:t xml:space="preserve">Email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1"/>
          <w:szCs w:val="21"/>
        </w:rPr>
        <w:t xml:space="preserve">info@altolumo.com — public contact and form fallback.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4682B4"/>
          <w:spacing w:val="18"/>
          <w:sz w:val="19"/>
          <w:szCs w:val="19"/>
        </w:rPr>
        <w:t xml:space="preserve">Public proof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1"/>
          <w:szCs w:val="21"/>
        </w:rPr>
        <w:t xml:space="preserve">github.com/seasonalhawk · kajiro.org · linkedin.com/in/kennethbenavides.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4682B4"/>
          <w:spacing w:val="18"/>
          <w:sz w:val="19"/>
          <w:szCs w:val="19"/>
        </w:rPr>
        <w:t xml:space="preserve">OG image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1"/>
          <w:szCs w:val="21"/>
        </w:rPr>
        <w:t xml:space="preserve">1200×630 card — wordmark on ink navy with the steel orb motif — saved as /og.jpg at the site root.</w:t>
      </w:r>
    </w:p>
    <w:p>
      <w:pPr>
        <w:spacing w:after="80" w:before="0" w:line="276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aps/>
          <w:color w:val="4682B4"/>
          <w:spacing w:val="18"/>
          <w:sz w:val="19"/>
          <w:szCs w:val="19"/>
        </w:rPr>
        <w:t xml:space="preserve">Favicon 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1"/>
          <w:szCs w:val="21"/>
        </w:rPr>
        <w:t xml:space="preserve">The AL ascent-peak mark on ink navy, rounded square. Source: assets/altolumo-mark.svg.</w:t>
      </w:r>
    </w:p>
    <w:p>
      <w:pPr>
        <w:spacing w:after="12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/>
      </w:r>
    </w:p>
    <w:p>
      <w:pPr>
        <w:pBdr>
          <w:bottom w:val="single" w:color="4682B4" w:sz="6" w:space="1"/>
        </w:pBdr>
        <w:spacing w:after="80" w:before="80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aps w:val="false"/>
          <w:color w:val="3B4150"/>
          <w:sz w:val="22"/>
          <w:szCs w:val="22"/>
        </w:rPr>
        <w:t xml:space="preserve"/>
      </w:r>
    </w:p>
    <w:p>
      <w:pPr>
        <w:spacing w:after="0" w:before="8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1D2536"/>
          <w:sz w:val="26"/>
          <w:szCs w:val="26"/>
        </w:rPr>
        <w:t xml:space="preserve">Build it once. Use it everywhere.</w:t>
      </w:r>
    </w:p>
    <w:p>
      <w:pPr>
        <w:spacing w:before="40"/>
        <w:jc w:val="center"/>
      </w:pPr>
      <w:r>
        <w:rPr>
          <w:rFonts w:ascii="Calibri" w:cs="Calibri" w:eastAsia="Calibri" w:hAnsi="Calibri"/>
          <w:b w:val="false"/>
          <w:bCs w:val="false"/>
          <w:i/>
          <w:iCs/>
          <w:caps w:val="false"/>
          <w:color w:val="877F6F"/>
          <w:sz w:val="19"/>
          <w:szCs w:val="19"/>
        </w:rPr>
        <w:t xml:space="preserve">Questions, exceptions, or new asset types: the book gets updated first, the asset second.</w:t>
      </w:r>
    </w:p>
    <w:p>
      <w:pPr>
        <w:spacing w:before="40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aps w:val="false"/>
          <w:color w:val="877F6F"/>
          <w:sz w:val="18"/>
          <w:szCs w:val="18"/>
        </w:rPr>
        <w:t xml:space="preserve">Kenneth Benavides  ·  info@altolumo.com  ·  altolumo.com</w:t>
      </w:r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DCCE" w:sz="4" w:space="6"/>
      </w:pBdr>
      <w:spacing w:before="60"/>
      <w:jc w:val="center"/>
    </w:pPr>
    <w:r>
      <w:rPr>
        <w:rFonts w:ascii="Calibri" w:cs="Calibri" w:eastAsia="Calibri" w:hAnsi="Calibri"/>
        <w:b w:val="false"/>
        <w:bCs w:val="false"/>
        <w:i w:val="false"/>
        <w:iCs w:val="false"/>
        <w:caps w:val="false"/>
        <w:color w:val="877F6F"/>
        <w:sz w:val="16"/>
        <w:szCs w:val="16"/>
      </w:rPr>
      <w:t xml:space="preserve">AltoLumo Brand Book · v8   ·   </w:t>
    </w:r>
    <w:r>
      <w:rPr>
        <w:rFonts w:ascii="Calibri" w:cs="Calibri" w:eastAsia="Calibri" w:hAnsi="Calibri"/>
        <w:color w:val="877F6F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  <w:rPr>
        <w:color w:val="4682B4"/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460" w:hanging="260"/>
      </w:pPr>
      <w:rPr>
        <w:color w:val="4682B4"/>
        <w:sz w:val="14"/>
        <w:szCs w:val="1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B415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40"/>
      <w:outlineLvl w:val="0"/>
    </w:pPr>
    <w:rPr>
      <w:rFonts w:ascii="Calibri" w:cs="Calibri" w:eastAsia="Calibri" w:hAnsi="Calibri"/>
      <w:b/>
      <w:bCs/>
      <w:color w:val="1D2536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Calibri" w:cs="Calibri" w:eastAsia="Calibri" w:hAnsi="Calibri"/>
      <w:b/>
      <w:bCs/>
      <w:color w:val="1F4E7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31f2c1994905b2ab1bf2df93c26cece98c28bf98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2026-07-05T18:17:36.197Z</dcterms:created>
  <dcterms:modified xsi:type="dcterms:W3CDTF">2026-07-05T18:17:36.198Z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