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BE7D" w14:textId="0E371794" w:rsidR="00F37528" w:rsidRDefault="00A83C2D" w:rsidP="00A83C2D">
      <w:pPr>
        <w:pStyle w:val="Heading1"/>
      </w:pPr>
      <w:r>
        <w:t>Day 10: The Code Generator — Analysis</w:t>
      </w:r>
    </w:p>
    <w:p w14:paraId="255DA5ED" w14:textId="77777777" w:rsidR="00A83C2D" w:rsidRDefault="00A83C2D" w:rsidP="00A83C2D">
      <w:pPr>
        <w:rPr>
          <w:rFonts w:ascii="Calibri" w:hAnsi="Calibri" w:cs="Calibri"/>
          <w:sz w:val="22"/>
        </w:rPr>
      </w:pPr>
    </w:p>
    <w:p w14:paraId="3B2ABE6A" w14:textId="71D7C9FD" w:rsidR="00A83C2D" w:rsidRDefault="00A83C2D" w:rsidP="00A83C2D">
      <w:pPr>
        <w:pStyle w:val="Heading2"/>
      </w:pPr>
      <w:r>
        <w:t>What It Teaches</w:t>
      </w:r>
    </w:p>
    <w:p w14:paraId="302D0A9A" w14:textId="12184AC8" w:rsidR="00A83C2D" w:rsidRDefault="00A83C2D" w:rsidP="00A83C2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 persona-driven "developer agent" that generates and iteratively refines C# code across a multi-turn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, using low </w:t>
      </w:r>
      <w:r>
        <w:rPr>
          <w:rFonts w:ascii="Consolas" w:hAnsi="Consolas" w:cs="Calibri"/>
          <w:sz w:val="20"/>
        </w:rPr>
        <w:t>Temperature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20"/>
        </w:rPr>
        <w:t>TopP</w:t>
      </w:r>
      <w:r>
        <w:rPr>
          <w:rFonts w:ascii="Calibri" w:hAnsi="Calibri" w:cs="Calibri"/>
          <w:sz w:val="22"/>
        </w:rPr>
        <w:t xml:space="preserve"> to suppress creative variance in generated code. Nice bridge episode — it sets up the code sample that Day 11 (The Critic) reviews.</w:t>
      </w:r>
    </w:p>
    <w:p w14:paraId="2B77C160" w14:textId="77777777" w:rsidR="00A83C2D" w:rsidRDefault="00A83C2D" w:rsidP="00A83C2D">
      <w:pPr>
        <w:rPr>
          <w:rFonts w:ascii="Calibri" w:hAnsi="Calibri" w:cs="Calibri"/>
          <w:sz w:val="22"/>
        </w:rPr>
      </w:pPr>
    </w:p>
    <w:p w14:paraId="05C3D253" w14:textId="446868E8" w:rsidR="00A83C2D" w:rsidRDefault="00A83C2D" w:rsidP="00A83C2D">
      <w:pPr>
        <w:pStyle w:val="Heading2"/>
      </w:pPr>
      <w:r>
        <w:t>My Assessment</w:t>
      </w:r>
    </w:p>
    <w:p w14:paraId="718D6E2B" w14:textId="78C255B5" w:rsidR="00A83C2D" w:rsidRDefault="00A83C2D" w:rsidP="00A83C2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Clean file, no bugs, no dead code. No docx exists for this project yet. The persona instructions ("modern .NET 8 syntax," "XML doc comments," "code only, no chatter") are a good template for future structured-output-adjacent lessons even before JSON output is introduced in Day 19/21.</w:t>
      </w:r>
    </w:p>
    <w:p w14:paraId="1E814DB0" w14:textId="77777777" w:rsidR="00A83C2D" w:rsidRDefault="00A83C2D" w:rsidP="00A83C2D">
      <w:pPr>
        <w:rPr>
          <w:rFonts w:ascii="Calibri" w:hAnsi="Calibri" w:cs="Calibri"/>
          <w:sz w:val="22"/>
        </w:rPr>
      </w:pPr>
    </w:p>
    <w:p w14:paraId="214E3261" w14:textId="4FEF85F5" w:rsidR="00A83C2D" w:rsidRDefault="00A83C2D" w:rsidP="00A83C2D">
      <w:pPr>
        <w:pStyle w:val="Heading2"/>
      </w:pPr>
      <w:r>
        <w:t>Gemini Coupling &amp; Migration to OpenAI/Other LLMs</w:t>
      </w:r>
    </w:p>
    <w:p w14:paraId="2DDCC9F7" w14:textId="63616C68" w:rsidR="00A83C2D" w:rsidRDefault="00A83C2D" w:rsidP="00A83C2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Only touch point: </w:t>
      </w:r>
      <w:r>
        <w:rPr>
          <w:rFonts w:ascii="Consolas" w:hAnsi="Consolas" w:cs="Calibri"/>
          <w:sz w:val="20"/>
        </w:rPr>
        <w:t>GeminiPromptExecutionSettings { Temperature = 0.2, TopP = 0.1 }</w:t>
      </w:r>
      <w:r>
        <w:rPr>
          <w:rFonts w:ascii="Calibri" w:hAnsi="Calibri" w:cs="Calibri"/>
          <w:sz w:val="22"/>
        </w:rPr>
        <w:t>.</w:t>
      </w:r>
    </w:p>
    <w:p w14:paraId="384EC05A" w14:textId="77777777" w:rsidR="00A83C2D" w:rsidRDefault="00A83C2D" w:rsidP="00A83C2D">
      <w:pPr>
        <w:rPr>
          <w:rFonts w:ascii="Calibri" w:hAnsi="Calibri" w:cs="Calibri"/>
          <w:sz w:val="22"/>
        </w:rPr>
      </w:pPr>
    </w:p>
    <w:p w14:paraId="76253646" w14:textId="0CA01C76" w:rsidR="00A83C2D" w:rsidRDefault="00A83C2D" w:rsidP="00A83C2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78DB259B" w14:textId="12C9BF6C" w:rsidR="00A83C2D" w:rsidRDefault="00A83C2D" w:rsidP="00A83C2D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72963D89" w14:textId="0AFCB8F2" w:rsidR="00A83C2D" w:rsidRDefault="00A83C2D" w:rsidP="00A83C2D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GeminiPromptExecutionSettings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OpenAIPromptExecutionSettings</w:t>
      </w:r>
      <w:r>
        <w:rPr>
          <w:rFonts w:ascii="Calibri" w:hAnsi="Calibri" w:cs="Calibri"/>
          <w:sz w:val="22"/>
        </w:rPr>
        <w:t xml:space="preserve"> — both properties carry over with identical names.</w:t>
      </w:r>
    </w:p>
    <w:p w14:paraId="3CB7424B" w14:textId="77777777" w:rsidR="00A83C2D" w:rsidRDefault="00A83C2D" w:rsidP="00A83C2D">
      <w:pPr>
        <w:rPr>
          <w:rFonts w:ascii="Calibri" w:hAnsi="Calibri" w:cs="Calibri"/>
          <w:sz w:val="22"/>
        </w:rPr>
      </w:pPr>
    </w:p>
    <w:p w14:paraId="3C334687" w14:textId="14DF4B62" w:rsidR="00A83C2D" w:rsidRDefault="00A83C2D" w:rsidP="00A83C2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Everything else (persona string,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, the request/refine loop) is provider-agnostic. </w:t>
      </w:r>
      <w:r>
        <w:rPr>
          <w:rFonts w:ascii="Calibri" w:hAnsi="Calibri" w:cs="Calibri"/>
          <w:b/>
          <w:sz w:val="22"/>
        </w:rPr>
        <w:t>Portability: Trivial.</w:t>
      </w:r>
    </w:p>
    <w:p w14:paraId="35EFFBC0" w14:textId="77777777" w:rsidR="00A83C2D" w:rsidRDefault="00A83C2D" w:rsidP="00A83C2D">
      <w:pPr>
        <w:rPr>
          <w:rFonts w:ascii="Calibri" w:hAnsi="Calibri" w:cs="Calibri"/>
          <w:sz w:val="22"/>
        </w:rPr>
      </w:pPr>
    </w:p>
    <w:p w14:paraId="71524BA1" w14:textId="7D2C4F0E" w:rsidR="00A83C2D" w:rsidRDefault="00A83C2D" w:rsidP="00A83C2D">
      <w:pPr>
        <w:pStyle w:val="Heading2"/>
      </w:pPr>
      <w:r>
        <w:t>Verdict</w:t>
      </w:r>
    </w:p>
    <w:p w14:paraId="19536811" w14:textId="2FCC1ECE" w:rsidR="00A83C2D" w:rsidRDefault="00A83C2D" w:rsidP="00A83C2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Straightforward, well-built episode — ready as-is aside from the standard connector swap.</w:t>
      </w:r>
    </w:p>
    <w:p w14:paraId="1243AA37" w14:textId="77777777" w:rsidR="00A83C2D" w:rsidRPr="00A83C2D" w:rsidRDefault="00A83C2D" w:rsidP="00A83C2D">
      <w:pPr>
        <w:rPr>
          <w:rFonts w:ascii="Calibri" w:hAnsi="Calibri" w:cs="Calibri"/>
          <w:sz w:val="22"/>
        </w:rPr>
      </w:pPr>
    </w:p>
    <w:sectPr w:rsidR="00A83C2D" w:rsidRPr="00A8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40A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7184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2D"/>
    <w:rsid w:val="00100BD2"/>
    <w:rsid w:val="003E13C8"/>
    <w:rsid w:val="00891DA8"/>
    <w:rsid w:val="00A83C2D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2970"/>
  <w15:chartTrackingRefBased/>
  <w15:docId w15:val="{F4E010DA-0C2F-4754-8D72-76D2B36B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