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6B4C" w14:textId="408BC749" w:rsidR="00F37528" w:rsidRDefault="00927ABA" w:rsidP="00927ABA">
      <w:pPr>
        <w:pStyle w:val="Heading1"/>
      </w:pPr>
      <w:r>
        <w:t>Day 14: Document QA — Analysis</w:t>
      </w:r>
    </w:p>
    <w:p w14:paraId="546AD053" w14:textId="77777777" w:rsidR="00927ABA" w:rsidRDefault="00927ABA" w:rsidP="00927ABA">
      <w:pPr>
        <w:rPr>
          <w:rFonts w:ascii="Calibri" w:hAnsi="Calibri" w:cs="Calibri"/>
          <w:sz w:val="22"/>
        </w:rPr>
      </w:pPr>
    </w:p>
    <w:p w14:paraId="08DF08DA" w14:textId="6F635162" w:rsidR="00927ABA" w:rsidRDefault="00927ABA" w:rsidP="00927ABA">
      <w:pPr>
        <w:pStyle w:val="Heading2"/>
      </w:pPr>
      <w:r>
        <w:t>What It Teaches</w:t>
      </w:r>
    </w:p>
    <w:p w14:paraId="459D2C5C" w14:textId="6F6EECC6" w:rsidR="00927ABA" w:rsidRDefault="00927ABA" w:rsidP="00927AB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Grounded question-answering via full-context stuffing: paste an entire document into the prompt and instruct the model to answer only from it (and to admit when it can't). This is a deliberate "before RAG" contrast — it should make Day 8/23's retrieval-based approach land better once viewers see the brute-force alternative first.</w:t>
      </w:r>
    </w:p>
    <w:p w14:paraId="4484DCA6" w14:textId="77777777" w:rsidR="00927ABA" w:rsidRDefault="00927ABA" w:rsidP="00927ABA">
      <w:pPr>
        <w:rPr>
          <w:rFonts w:ascii="Calibri" w:hAnsi="Calibri" w:cs="Calibri"/>
          <w:sz w:val="22"/>
        </w:rPr>
      </w:pPr>
    </w:p>
    <w:p w14:paraId="186D47A0" w14:textId="33617BF9" w:rsidR="00927ABA" w:rsidRDefault="00927ABA" w:rsidP="00927ABA">
      <w:pPr>
        <w:pStyle w:val="Heading2"/>
      </w:pPr>
      <w:r>
        <w:t>My Assessment</w:t>
      </w:r>
    </w:p>
    <w:p w14:paraId="02AC8CDF" w14:textId="686F2E88" w:rsidR="00927ABA" w:rsidRDefault="00927ABA" w:rsidP="00927AB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No docx exists yet for this project. Functionally correct, but the pedagogical framing is slightly overstated: the code comment and console output describe this as handling a "large document"/"simulated large context," yet </w:t>
      </w:r>
      <w:r>
        <w:rPr>
          <w:rFonts w:ascii="Consolas" w:hAnsi="Consolas" w:cs="Calibri"/>
          <w:sz w:val="20"/>
        </w:rPr>
        <w:t>GenerateSampleTechnicalDoc()</w:t>
      </w:r>
      <w:r>
        <w:rPr>
          <w:rFonts w:ascii="Calibri" w:hAnsi="Calibri" w:cs="Calibri"/>
          <w:sz w:val="22"/>
        </w:rPr>
        <w:t xml:space="preserve"> returns only a few short paragraphs. It never actually exercises what makes context-stuffing interesting or risky in practice — token cost at scale, latency, or the context-window ceiling that RAG exists to solve. Swapping in a genuinely long sample document (or at least narrating the token-cost math on camera) would make the "why RAG matters" payoff in later episodes land much harder.</w:t>
      </w:r>
    </w:p>
    <w:p w14:paraId="4C7C206D" w14:textId="77777777" w:rsidR="00927ABA" w:rsidRDefault="00927ABA" w:rsidP="00927ABA">
      <w:pPr>
        <w:rPr>
          <w:rFonts w:ascii="Calibri" w:hAnsi="Calibri" w:cs="Calibri"/>
          <w:sz w:val="22"/>
        </w:rPr>
      </w:pPr>
    </w:p>
    <w:p w14:paraId="5D30D18E" w14:textId="34E40A4E" w:rsidR="00927ABA" w:rsidRDefault="00927ABA" w:rsidP="00927ABA">
      <w:pPr>
        <w:pStyle w:val="Heading2"/>
      </w:pPr>
      <w:r>
        <w:t>Gemini Coupling &amp; Migration to OpenAI/Other LLMs</w:t>
      </w:r>
    </w:p>
    <w:p w14:paraId="6EBC9978" w14:textId="3C35DBEF" w:rsidR="00927ABA" w:rsidRDefault="00927ABA" w:rsidP="00927AB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Only touch point: </w:t>
      </w:r>
      <w:r>
        <w:rPr>
          <w:rFonts w:ascii="Consolas" w:hAnsi="Consolas" w:cs="Calibri"/>
          <w:sz w:val="20"/>
        </w:rPr>
        <w:t>GeminiPromptExecutionSettings { Temperature = 0.0 }</w:t>
      </w:r>
      <w:r>
        <w:rPr>
          <w:rFonts w:ascii="Calibri" w:hAnsi="Calibri" w:cs="Calibri"/>
          <w:sz w:val="22"/>
        </w:rPr>
        <w:t>.</w:t>
      </w:r>
    </w:p>
    <w:p w14:paraId="1F8728C8" w14:textId="77777777" w:rsidR="00927ABA" w:rsidRDefault="00927ABA" w:rsidP="00927ABA">
      <w:pPr>
        <w:rPr>
          <w:rFonts w:ascii="Calibri" w:hAnsi="Calibri" w:cs="Calibri"/>
          <w:sz w:val="22"/>
        </w:rPr>
      </w:pPr>
    </w:p>
    <w:p w14:paraId="33AC2C66" w14:textId="6F302124" w:rsidR="00927ABA" w:rsidRDefault="00927ABA" w:rsidP="00927AB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1B874866" w14:textId="0D3EF0B0" w:rsidR="00927ABA" w:rsidRDefault="00927ABA" w:rsidP="00927ABA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32DAA9C2" w14:textId="0CDB5175" w:rsidR="00927ABA" w:rsidRDefault="00927ABA" w:rsidP="00927ABA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GeminiPromptExecutionSettings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OpenAIPromptExecutionSettings</w:t>
      </w:r>
      <w:r>
        <w:rPr>
          <w:rFonts w:ascii="Calibri" w:hAnsi="Calibri" w:cs="Calibri"/>
          <w:sz w:val="22"/>
        </w:rPr>
        <w:t>.</w:t>
      </w:r>
    </w:p>
    <w:p w14:paraId="657C2502" w14:textId="77777777" w:rsidR="00927ABA" w:rsidRDefault="00927ABA" w:rsidP="00927ABA">
      <w:pPr>
        <w:rPr>
          <w:rFonts w:ascii="Calibri" w:hAnsi="Calibri" w:cs="Calibri"/>
          <w:sz w:val="22"/>
        </w:rPr>
      </w:pPr>
    </w:p>
    <w:p w14:paraId="5448DC7C" w14:textId="5A26B662" w:rsidR="00927ABA" w:rsidRDefault="00927ABA" w:rsidP="00927AB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Portability: Trivial.</w:t>
      </w:r>
      <w:r>
        <w:rPr>
          <w:rFonts w:ascii="Calibri" w:hAnsi="Calibri" w:cs="Calibri"/>
          <w:sz w:val="22"/>
        </w:rPr>
        <w:t xml:space="preserve"> Worth noting on camera that context-window </w:t>
      </w:r>
      <w:r>
        <w:rPr>
          <w:rFonts w:ascii="Calibri" w:hAnsi="Calibri" w:cs="Calibri"/>
          <w:i/>
          <w:sz w:val="22"/>
        </w:rPr>
        <w:t>size</w:t>
      </w:r>
      <w:r>
        <w:rPr>
          <w:rFonts w:ascii="Calibri" w:hAnsi="Calibri" w:cs="Calibri"/>
          <w:sz w:val="22"/>
        </w:rPr>
        <w:t xml:space="preserve"> differs meaningfully by model/provider (this is one of the few places where "just swap the connector" isn't the whole migration story — a document that fits Gemini's context window might not fit a smaller-context OpenAI model, and vice versa).</w:t>
      </w:r>
    </w:p>
    <w:p w14:paraId="32DB18D8" w14:textId="77777777" w:rsidR="00927ABA" w:rsidRDefault="00927ABA" w:rsidP="00927ABA">
      <w:pPr>
        <w:rPr>
          <w:rFonts w:ascii="Calibri" w:hAnsi="Calibri" w:cs="Calibri"/>
          <w:sz w:val="22"/>
        </w:rPr>
      </w:pPr>
    </w:p>
    <w:p w14:paraId="43948669" w14:textId="33F54CD3" w:rsidR="00927ABA" w:rsidRDefault="00927ABA" w:rsidP="00927ABA">
      <w:pPr>
        <w:pStyle w:val="Heading2"/>
      </w:pPr>
      <w:r>
        <w:t>Verdict</w:t>
      </w:r>
    </w:p>
    <w:p w14:paraId="2E10C8D5" w14:textId="54F56773" w:rsidR="00927ABA" w:rsidRDefault="00927ABA" w:rsidP="00927AB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Good conceptual setup for RAG; strengthen it with a genuinely large document so the "why not just stuff everything into the prompt" lesson is felt, not just stated.</w:t>
      </w:r>
    </w:p>
    <w:p w14:paraId="25C3CC43" w14:textId="77777777" w:rsidR="00927ABA" w:rsidRPr="00927ABA" w:rsidRDefault="00927ABA" w:rsidP="00927ABA">
      <w:pPr>
        <w:rPr>
          <w:rFonts w:ascii="Calibri" w:hAnsi="Calibri" w:cs="Calibri"/>
          <w:sz w:val="22"/>
        </w:rPr>
      </w:pPr>
    </w:p>
    <w:sectPr w:rsidR="00927ABA" w:rsidRPr="00927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A1607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804278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BA"/>
    <w:rsid w:val="00100BD2"/>
    <w:rsid w:val="003E13C8"/>
    <w:rsid w:val="00891DA8"/>
    <w:rsid w:val="00927ABA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E5C1"/>
  <w15:chartTrackingRefBased/>
  <w15:docId w15:val="{002EA2D2-DF41-4C9D-B239-74D01F70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