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50093" w14:textId="661436D3" w:rsidR="00F37528" w:rsidRDefault="002F6845" w:rsidP="002F6845">
      <w:pPr>
        <w:pStyle w:val="Heading1"/>
      </w:pPr>
      <w:r>
        <w:t>Day 18: Native Multi-Agent Orchestration — Analysis</w:t>
      </w:r>
    </w:p>
    <w:p w14:paraId="750F352D" w14:textId="77777777" w:rsidR="002F6845" w:rsidRDefault="002F6845" w:rsidP="002F6845">
      <w:pPr>
        <w:rPr>
          <w:rFonts w:ascii="Calibri" w:hAnsi="Calibri" w:cs="Calibri"/>
          <w:sz w:val="22"/>
        </w:rPr>
      </w:pPr>
    </w:p>
    <w:p w14:paraId="0D2C1AA1" w14:textId="70064763" w:rsidR="002F6845" w:rsidRDefault="002F6845" w:rsidP="002F6845">
      <w:pPr>
        <w:pStyle w:val="Heading2"/>
      </w:pPr>
      <w:r>
        <w:t>What It Teaches</w:t>
      </w:r>
    </w:p>
    <w:p w14:paraId="21EBB2CF" w14:textId="5F1B3C1D" w:rsidR="002F6845" w:rsidRDefault="002F6845" w:rsidP="002F684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Two agents (Copywriter/Editor) sharing a single </w:t>
      </w:r>
      <w:r>
        <w:rPr>
          <w:rFonts w:ascii="Consolas" w:hAnsi="Consolas" w:cs="Calibri"/>
          <w:sz w:val="20"/>
        </w:rPr>
        <w:t>ChatHistory</w:t>
      </w:r>
      <w:r>
        <w:rPr>
          <w:rFonts w:ascii="Calibri" w:hAnsi="Calibri" w:cs="Calibri"/>
          <w:sz w:val="22"/>
        </w:rPr>
        <w:t xml:space="preserve">, with "persona swapping" (inserting a System message at index 0, calling the model, then removing it) used to give each specialist a distinct identity turn-by-turn. The docx is explicit that this pattern exists specifically to work around </w:t>
      </w:r>
      <w:r>
        <w:rPr>
          <w:rFonts w:ascii="Calibri" w:hAnsi="Calibri" w:cs="Calibri"/>
          <w:b/>
          <w:sz w:val="22"/>
        </w:rPr>
        <w:t>Gemini's strict requirement that chat history must strictly alternate User → Assistant → User</w:t>
      </w:r>
      <w:r>
        <w:rPr>
          <w:rFonts w:ascii="Calibri" w:hAnsi="Calibri" w:cs="Calibri"/>
          <w:sz w:val="22"/>
        </w:rPr>
        <w:t>, which is a genuinely useful, non-obvious constraint to teach.</w:t>
      </w:r>
    </w:p>
    <w:p w14:paraId="08F6003E" w14:textId="77777777" w:rsidR="002F6845" w:rsidRDefault="002F6845" w:rsidP="002F6845">
      <w:pPr>
        <w:rPr>
          <w:rFonts w:ascii="Calibri" w:hAnsi="Calibri" w:cs="Calibri"/>
          <w:sz w:val="22"/>
        </w:rPr>
      </w:pPr>
    </w:p>
    <w:p w14:paraId="5B406A8D" w14:textId="514496D6" w:rsidR="002F6845" w:rsidRDefault="002F6845" w:rsidP="002F6845">
      <w:pPr>
        <w:pStyle w:val="Heading2"/>
      </w:pPr>
      <w:r>
        <w:t>My Assessment</w:t>
      </w:r>
    </w:p>
    <w:p w14:paraId="027DD8D4" w14:textId="30F3F2AA" w:rsidR="002F6845" w:rsidRDefault="002F6845" w:rsidP="002F684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 code and docx agree here (unusual for this series — most projects have some drift) and the implementation is clean and well-commented. This is a good episode.</w:t>
      </w:r>
    </w:p>
    <w:p w14:paraId="3FE57BA3" w14:textId="77777777" w:rsidR="002F6845" w:rsidRDefault="002F6845" w:rsidP="002F6845">
      <w:pPr>
        <w:rPr>
          <w:rFonts w:ascii="Calibri" w:hAnsi="Calibri" w:cs="Calibri"/>
          <w:sz w:val="22"/>
        </w:rPr>
      </w:pPr>
    </w:p>
    <w:p w14:paraId="5AA7B9B3" w14:textId="064D81D6" w:rsidR="002F6845" w:rsidRDefault="002F6845" w:rsidP="002F684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 one thing worth being explicit about on camera: the "Gemini Protocol Nudge" (</w:t>
      </w:r>
      <w:r>
        <w:rPr>
          <w:rFonts w:ascii="Consolas" w:hAnsi="Consolas" w:cs="Calibri"/>
          <w:sz w:val="20"/>
        </w:rPr>
        <w:t>chatHistory.AddUserMessage("Editor, please review the slogan above.")</w:t>
      </w:r>
      <w:r>
        <w:rPr>
          <w:rFonts w:ascii="Calibri" w:hAnsi="Calibri" w:cs="Calibri"/>
          <w:sz w:val="22"/>
        </w:rPr>
        <w:t xml:space="preserve">) is solving a </w:t>
      </w:r>
      <w:r>
        <w:rPr>
          <w:rFonts w:ascii="Calibri" w:hAnsi="Calibri" w:cs="Calibri"/>
          <w:b/>
          <w:sz w:val="22"/>
        </w:rPr>
        <w:t>Gemini-specific</w:t>
      </w:r>
      <w:r>
        <w:rPr>
          <w:rFonts w:ascii="Calibri" w:hAnsi="Calibri" w:cs="Calibri"/>
          <w:sz w:val="22"/>
        </w:rPr>
        <w:t xml:space="preserve"> API constraint, not a universal one. OpenAI's Chat Completions API does not require strict role alternation — it tolerates back-to-back assistant messages. That means part of this episode's cleverness (working around alternation) becomes unnecessary complexity once ported to OpenAI, not just a line-for-line swap.</w:t>
      </w:r>
    </w:p>
    <w:p w14:paraId="07696A25" w14:textId="77777777" w:rsidR="002F6845" w:rsidRDefault="002F6845" w:rsidP="002F6845">
      <w:pPr>
        <w:rPr>
          <w:rFonts w:ascii="Calibri" w:hAnsi="Calibri" w:cs="Calibri"/>
          <w:sz w:val="22"/>
        </w:rPr>
      </w:pPr>
    </w:p>
    <w:p w14:paraId="5F3EDDBC" w14:textId="09CD5608" w:rsidR="002F6845" w:rsidRDefault="002F6845" w:rsidP="002F6845">
      <w:pPr>
        <w:pStyle w:val="Heading2"/>
      </w:pPr>
      <w:r>
        <w:t>Gemini Coupling &amp; Migration to OpenAI/Other LLMs</w:t>
      </w:r>
    </w:p>
    <w:p w14:paraId="76DF944B" w14:textId="7A48F1EF" w:rsidR="002F6845" w:rsidRDefault="002F6845" w:rsidP="002F684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Migration steps:</w:t>
      </w:r>
    </w:p>
    <w:p w14:paraId="6815F7DF" w14:textId="5C1A6FE6" w:rsidR="002F6845" w:rsidRDefault="002F6845" w:rsidP="002F6845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Standard connector swap.</w:t>
      </w:r>
    </w:p>
    <w:p w14:paraId="279921C5" w14:textId="54F56135" w:rsidR="002F6845" w:rsidRDefault="002F6845" w:rsidP="002F6845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The nudge messages can either be </w:t>
      </w:r>
      <w:r>
        <w:rPr>
          <w:rFonts w:ascii="Calibri" w:hAnsi="Calibri" w:cs="Calibri"/>
          <w:b/>
          <w:sz w:val="22"/>
        </w:rPr>
        <w:t>left in place</w:t>
      </w:r>
      <w:r>
        <w:rPr>
          <w:rFonts w:ascii="Calibri" w:hAnsi="Calibri" w:cs="Calibri"/>
          <w:sz w:val="22"/>
        </w:rPr>
        <w:t xml:space="preserve"> (harmless, just slightly redundant with OpenAI) or </w:t>
      </w:r>
      <w:r>
        <w:rPr>
          <w:rFonts w:ascii="Calibri" w:hAnsi="Calibri" w:cs="Calibri"/>
          <w:b/>
          <w:sz w:val="22"/>
        </w:rPr>
        <w:t>removed</w:t>
      </w:r>
      <w:r>
        <w:rPr>
          <w:rFonts w:ascii="Calibri" w:hAnsi="Calibri" w:cs="Calibri"/>
          <w:sz w:val="22"/>
        </w:rPr>
        <w:t xml:space="preserve"> for a cleaner OpenAI-native version that lets the Editor respond immediately after the Copywriter without an intervening "please review" message.</w:t>
      </w:r>
    </w:p>
    <w:p w14:paraId="4736ADA9" w14:textId="77777777" w:rsidR="002F6845" w:rsidRDefault="002F6845" w:rsidP="002F6845">
      <w:pPr>
        <w:rPr>
          <w:rFonts w:ascii="Calibri" w:hAnsi="Calibri" w:cs="Calibri"/>
          <w:sz w:val="22"/>
        </w:rPr>
      </w:pPr>
    </w:p>
    <w:p w14:paraId="000C1DA9" w14:textId="264C04B9" w:rsidR="002F6845" w:rsidRDefault="002F6845" w:rsidP="002F684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Recommend explicitly teaching this as a two-part lesson: "here's how you solve a Gemini-only constraint" </w:t>
      </w:r>
      <w:r>
        <w:rPr>
          <w:rFonts w:ascii="Calibri" w:hAnsi="Calibri" w:cs="Calibri"/>
          <w:i/>
          <w:sz w:val="22"/>
        </w:rPr>
        <w:t>and</w:t>
      </w:r>
      <w:r>
        <w:rPr>
          <w:rFonts w:ascii="Calibri" w:hAnsi="Calibri" w:cs="Calibri"/>
          <w:sz w:val="22"/>
        </w:rPr>
        <w:t xml:space="preserve"> "here's what that constraint-solving code looks like once it's no longer needed." That turns what could be read as a migration inconvenience into a good illustration of provider-specific quirks in general — a lesson worth having somewhere in this series regardless of which vendor viewers land on. </w:t>
      </w:r>
      <w:r>
        <w:rPr>
          <w:rFonts w:ascii="Calibri" w:hAnsi="Calibri" w:cs="Calibri"/>
          <w:b/>
          <w:sz w:val="22"/>
        </w:rPr>
        <w:t>Portability: Moderate</w:t>
      </w:r>
      <w:r>
        <w:rPr>
          <w:rFonts w:ascii="Calibri" w:hAnsi="Calibri" w:cs="Calibri"/>
          <w:sz w:val="22"/>
        </w:rPr>
        <w:t xml:space="preserve"> (works either way, but the "correct" ported version is simpler than the original).</w:t>
      </w:r>
    </w:p>
    <w:p w14:paraId="278C93B6" w14:textId="77777777" w:rsidR="002F6845" w:rsidRDefault="002F6845" w:rsidP="002F6845">
      <w:pPr>
        <w:rPr>
          <w:rFonts w:ascii="Calibri" w:hAnsi="Calibri" w:cs="Calibri"/>
          <w:sz w:val="22"/>
        </w:rPr>
      </w:pPr>
    </w:p>
    <w:p w14:paraId="6D095BEB" w14:textId="1B1843BB" w:rsidR="002F6845" w:rsidRDefault="002F6845" w:rsidP="002F6845">
      <w:pPr>
        <w:pStyle w:val="Heading2"/>
      </w:pPr>
      <w:r>
        <w:t>Verdict</w:t>
      </w:r>
    </w:p>
    <w:p w14:paraId="303AA552" w14:textId="54E4F6A8" w:rsidR="002F6845" w:rsidRDefault="002F6845" w:rsidP="002F684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One of the better-executed and best-documented episodes in the series; worth calling out the OpenAI-doesn't-need-the-nudge nuance explicitly rather than letting viewers assume it's required everywhere.</w:t>
      </w:r>
    </w:p>
    <w:p w14:paraId="59062804" w14:textId="77777777" w:rsidR="002F6845" w:rsidRPr="002F6845" w:rsidRDefault="002F6845" w:rsidP="002F6845">
      <w:pPr>
        <w:rPr>
          <w:rFonts w:ascii="Calibri" w:hAnsi="Calibri" w:cs="Calibri"/>
          <w:sz w:val="22"/>
        </w:rPr>
      </w:pPr>
    </w:p>
    <w:sectPr w:rsidR="002F6845" w:rsidRPr="002F6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853B9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768743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845"/>
    <w:rsid w:val="00100BD2"/>
    <w:rsid w:val="002F6845"/>
    <w:rsid w:val="003E13C8"/>
    <w:rsid w:val="00891DA8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3DB5F"/>
  <w15:chartTrackingRefBased/>
  <w15:docId w15:val="{2206A718-E7C2-470B-B4CC-1C519ECA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6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6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2026-07-28T22:15:00Z</dcterms:created>
  <dcterms:modified xsi:type="dcterms:W3CDTF">2026-07-28T22:15:00Z</dcterms:modified>
</cp:coreProperties>
</file>