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C245" w14:textId="1B62B966" w:rsidR="00F37528" w:rsidRDefault="001E1373" w:rsidP="001E1373">
      <w:pPr>
        <w:pStyle w:val="Heading1"/>
      </w:pPr>
      <w:r>
        <w:t>Day 2: The Summarizer — Analysis</w:t>
      </w:r>
    </w:p>
    <w:p w14:paraId="094717FE" w14:textId="77777777" w:rsidR="001E1373" w:rsidRDefault="001E1373" w:rsidP="001E1373">
      <w:pPr>
        <w:rPr>
          <w:rFonts w:ascii="Calibri" w:hAnsi="Calibri" w:cs="Calibri"/>
          <w:sz w:val="22"/>
        </w:rPr>
      </w:pPr>
    </w:p>
    <w:p w14:paraId="718C921C" w14:textId="38CE431E" w:rsidR="001E1373" w:rsidRDefault="001E1373" w:rsidP="001E1373">
      <w:pPr>
        <w:pStyle w:val="Heading2"/>
      </w:pPr>
      <w:r>
        <w:t>What It Teaches</w:t>
      </w:r>
    </w:p>
    <w:p w14:paraId="62B8EE47" w14:textId="1E009D19" w:rsidR="001E1373" w:rsidRDefault="001E1373" w:rsidP="001E137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shift from open-ended chat to a "Reduction Agent": prompt templates with </w:t>
      </w:r>
      <w:r>
        <w:rPr>
          <w:rFonts w:ascii="Consolas" w:hAnsi="Consolas" w:cs="Calibri"/>
          <w:sz w:val="20"/>
        </w:rPr>
        <w:t>{{$variable}}</w:t>
      </w:r>
      <w:r>
        <w:rPr>
          <w:rFonts w:ascii="Calibri" w:hAnsi="Calibri" w:cs="Calibri"/>
          <w:sz w:val="22"/>
        </w:rPr>
        <w:t xml:space="preserve"> placeholders, </w:t>
      </w:r>
      <w:r>
        <w:rPr>
          <w:rFonts w:ascii="Consolas" w:hAnsi="Consolas" w:cs="Calibri"/>
          <w:sz w:val="20"/>
        </w:rPr>
        <w:t>KernelArguments</w:t>
      </w:r>
      <w:r>
        <w:rPr>
          <w:rFonts w:ascii="Calibri" w:hAnsi="Calibri" w:cs="Calibri"/>
          <w:sz w:val="22"/>
        </w:rPr>
        <w:t xml:space="preserve"> as the bridge between C# data and the template, and </w:t>
      </w:r>
      <w:r>
        <w:rPr>
          <w:rFonts w:ascii="Consolas" w:hAnsi="Consolas" w:cs="Calibri"/>
          <w:sz w:val="20"/>
        </w:rPr>
        <w:t>InvokePromptAsync</w:t>
      </w:r>
      <w:r>
        <w:rPr>
          <w:rFonts w:ascii="Calibri" w:hAnsi="Calibri" w:cs="Calibri"/>
          <w:sz w:val="22"/>
        </w:rPr>
        <w:t xml:space="preserve"> as a one-shot alternative to the </w:t>
      </w:r>
      <w:r>
        <w:rPr>
          <w:rFonts w:ascii="Consolas" w:hAnsi="Consolas" w:cs="Calibri"/>
          <w:sz w:val="20"/>
        </w:rPr>
        <w:t>ChatHistory</w:t>
      </w:r>
      <w:r>
        <w:rPr>
          <w:rFonts w:ascii="Calibri" w:hAnsi="Calibri" w:cs="Calibri"/>
          <w:sz w:val="22"/>
        </w:rPr>
        <w:t xml:space="preserve"> loop from Day 1. Good pedagogical progression — the contrast with Day 1's approach is the whole point of the lesson.</w:t>
      </w:r>
    </w:p>
    <w:p w14:paraId="08183B5B" w14:textId="77777777" w:rsidR="001E1373" w:rsidRDefault="001E1373" w:rsidP="001E1373">
      <w:pPr>
        <w:rPr>
          <w:rFonts w:ascii="Calibri" w:hAnsi="Calibri" w:cs="Calibri"/>
          <w:sz w:val="22"/>
        </w:rPr>
      </w:pPr>
    </w:p>
    <w:p w14:paraId="1FF20B9C" w14:textId="23B4116D" w:rsidR="001E1373" w:rsidRDefault="001E1373" w:rsidP="001E1373">
      <w:pPr>
        <w:pStyle w:val="Heading2"/>
      </w:pPr>
      <w:r>
        <w:t>My Assessment</w:t>
      </w:r>
    </w:p>
    <w:p w14:paraId="6F612039" w14:textId="7C1E16AD" w:rsidR="001E1373" w:rsidRDefault="001E1373" w:rsidP="001E137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Clean and correct. The dummy-article generator is a nice touch so the demo works out-of-the-box. No functional bugs.</w:t>
      </w:r>
    </w:p>
    <w:p w14:paraId="51C87448" w14:textId="77777777" w:rsidR="001E1373" w:rsidRDefault="001E1373" w:rsidP="001E1373">
      <w:pPr>
        <w:rPr>
          <w:rFonts w:ascii="Calibri" w:hAnsi="Calibri" w:cs="Calibri"/>
          <w:sz w:val="22"/>
        </w:rPr>
      </w:pPr>
    </w:p>
    <w:p w14:paraId="35C8AA63" w14:textId="58733238" w:rsidR="001E1373" w:rsidRDefault="001E1373" w:rsidP="001E137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As with Day 1, </w:t>
      </w:r>
      <w:r>
        <w:rPr>
          <w:rFonts w:ascii="Calibri" w:hAnsi="Calibri" w:cs="Calibri"/>
          <w:b/>
          <w:sz w:val="22"/>
        </w:rPr>
        <w:t>the docx (OpenAI, `OPENAI_API_KEY`, `gpt-4o`) does not match the shipped code (Gemini, `GEMINI_API_KEY`, `gemini-2.5-flash`)</w:t>
      </w:r>
      <w:r>
        <w:rPr>
          <w:rFonts w:ascii="Calibri" w:hAnsi="Calibri" w:cs="Calibri"/>
          <w:sz w:val="22"/>
        </w:rPr>
        <w:t xml:space="preserve">. Since this is the second episode in a row with this exact mismatch, it looks less like a one-off oversight and more like the documentation was drafted from an original OpenAI-based template that was never re-generated after the project pivoted to Gemini. Worth a single pass over all the docs to confirm which model each one </w:t>
      </w:r>
      <w:r>
        <w:rPr>
          <w:rFonts w:ascii="Calibri" w:hAnsi="Calibri" w:cs="Calibri"/>
          <w:i/>
          <w:sz w:val="22"/>
        </w:rPr>
        <w:t>should</w:t>
      </w:r>
      <w:r>
        <w:rPr>
          <w:rFonts w:ascii="Calibri" w:hAnsi="Calibri" w:cs="Calibri"/>
          <w:sz w:val="22"/>
        </w:rPr>
        <w:t xml:space="preserve"> reference.</w:t>
      </w:r>
    </w:p>
    <w:p w14:paraId="6835C3E5" w14:textId="77777777" w:rsidR="001E1373" w:rsidRDefault="001E1373" w:rsidP="001E1373">
      <w:pPr>
        <w:rPr>
          <w:rFonts w:ascii="Calibri" w:hAnsi="Calibri" w:cs="Calibri"/>
          <w:sz w:val="22"/>
        </w:rPr>
      </w:pPr>
    </w:p>
    <w:p w14:paraId="7FCA9004" w14:textId="1903F5F2" w:rsidR="001E1373" w:rsidRDefault="001E1373" w:rsidP="001E1373">
      <w:pPr>
        <w:pStyle w:val="Heading2"/>
      </w:pPr>
      <w:r>
        <w:t>Gemini Coupling &amp; Migration to OpenAI/Other LLMs</w:t>
      </w:r>
    </w:p>
    <w:p w14:paraId="1EDEBFB9" w14:textId="45E65990" w:rsidR="001E1373" w:rsidRDefault="001E1373" w:rsidP="001E137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Like Day 1, this file uses zero Gemini-specific execution-settings types — </w:t>
      </w:r>
      <w:r>
        <w:rPr>
          <w:rFonts w:ascii="Consolas" w:hAnsi="Consolas" w:cs="Calibri"/>
          <w:sz w:val="20"/>
        </w:rPr>
        <w:t>InvokePromptAsync</w:t>
      </w:r>
      <w:r>
        <w:rPr>
          <w:rFonts w:ascii="Calibri" w:hAnsi="Calibri" w:cs="Calibri"/>
          <w:sz w:val="22"/>
        </w:rPr>
        <w:t xml:space="preserve"> is called with no settings object at all. The only touch point is the single builder line.</w:t>
      </w:r>
    </w:p>
    <w:p w14:paraId="697CB7BA" w14:textId="77777777" w:rsidR="001E1373" w:rsidRDefault="001E1373" w:rsidP="001E1373">
      <w:pPr>
        <w:rPr>
          <w:rFonts w:ascii="Calibri" w:hAnsi="Calibri" w:cs="Calibri"/>
          <w:sz w:val="22"/>
        </w:rPr>
      </w:pPr>
    </w:p>
    <w:p w14:paraId="79270F78" w14:textId="6A896A4C" w:rsidR="001E1373" w:rsidRDefault="001E1373" w:rsidP="001E137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403F357A" w14:textId="74229217" w:rsidR="001E1373" w:rsidRDefault="001E1373" w:rsidP="001E137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Microsoft.SemanticKernel.Connectors.Google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Microsoft.SemanticKernel.Connectors.OpenAI</w:t>
      </w:r>
      <w:r>
        <w:rPr>
          <w:rFonts w:ascii="Calibri" w:hAnsi="Calibri" w:cs="Calibri"/>
          <w:sz w:val="22"/>
        </w:rPr>
        <w:t>.</w:t>
      </w:r>
    </w:p>
    <w:p w14:paraId="02BA19ED" w14:textId="5F73BAEB" w:rsidR="001E1373" w:rsidRDefault="001E1373" w:rsidP="001E137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AddGoogleAIGeminiChatCompletion(modelId, apiKey)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AddOpenAIChatCompletion(modelId, apiKey)</w:t>
      </w:r>
      <w:r>
        <w:rPr>
          <w:rFonts w:ascii="Calibri" w:hAnsi="Calibri" w:cs="Calibri"/>
          <w:sz w:val="22"/>
        </w:rPr>
        <w:t>.</w:t>
      </w:r>
    </w:p>
    <w:p w14:paraId="4756F3BF" w14:textId="6C60ABE4" w:rsidR="001E1373" w:rsidRDefault="001E1373" w:rsidP="001E137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GEMINI_API_KEY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OPENAI_API_KEY</w:t>
      </w:r>
      <w:r>
        <w:rPr>
          <w:rFonts w:ascii="Calibri" w:hAnsi="Calibri" w:cs="Calibri"/>
          <w:sz w:val="22"/>
        </w:rPr>
        <w:t>.</w:t>
      </w:r>
    </w:p>
    <w:p w14:paraId="019921A1" w14:textId="77777777" w:rsidR="001E1373" w:rsidRDefault="001E1373" w:rsidP="001E1373">
      <w:pPr>
        <w:rPr>
          <w:rFonts w:ascii="Calibri" w:hAnsi="Calibri" w:cs="Calibri"/>
          <w:sz w:val="22"/>
        </w:rPr>
      </w:pPr>
    </w:p>
    <w:p w14:paraId="5D5F7B2F" w14:textId="073F4E2C" w:rsidR="001E1373" w:rsidRDefault="001E1373" w:rsidP="001E137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prompt template, </w:t>
      </w:r>
      <w:r>
        <w:rPr>
          <w:rFonts w:ascii="Consolas" w:hAnsi="Consolas" w:cs="Calibri"/>
          <w:sz w:val="20"/>
        </w:rPr>
        <w:t>KernelArguments</w:t>
      </w:r>
      <w:r>
        <w:rPr>
          <w:rFonts w:ascii="Calibri" w:hAnsi="Calibri" w:cs="Calibri"/>
          <w:sz w:val="22"/>
        </w:rPr>
        <w:t xml:space="preserve">, and </w:t>
      </w:r>
      <w:r>
        <w:rPr>
          <w:rFonts w:ascii="Consolas" w:hAnsi="Consolas" w:cs="Calibri"/>
          <w:sz w:val="20"/>
        </w:rPr>
        <w:t>InvokePromptAsync</w:t>
      </w:r>
      <w:r>
        <w:rPr>
          <w:rFonts w:ascii="Calibri" w:hAnsi="Calibri" w:cs="Calibri"/>
          <w:sz w:val="22"/>
        </w:rPr>
        <w:t xml:space="preserve"> call are identical across every provider SK supports. </w:t>
      </w:r>
      <w:r>
        <w:rPr>
          <w:rFonts w:ascii="Calibri" w:hAnsi="Calibri" w:cs="Calibri"/>
          <w:b/>
          <w:sz w:val="22"/>
        </w:rPr>
        <w:t>Portability: Trivial.</w:t>
      </w:r>
    </w:p>
    <w:p w14:paraId="6EC64F71" w14:textId="77777777" w:rsidR="001E1373" w:rsidRDefault="001E1373" w:rsidP="001E1373">
      <w:pPr>
        <w:rPr>
          <w:rFonts w:ascii="Calibri" w:hAnsi="Calibri" w:cs="Calibri"/>
          <w:sz w:val="22"/>
        </w:rPr>
      </w:pPr>
    </w:p>
    <w:p w14:paraId="3552B928" w14:textId="41960CFF" w:rsidR="001E1373" w:rsidRDefault="001E1373" w:rsidP="001E1373">
      <w:pPr>
        <w:pStyle w:val="Heading2"/>
      </w:pPr>
      <w:r>
        <w:t>Verdict</w:t>
      </w:r>
    </w:p>
    <w:p w14:paraId="4A051E03" w14:textId="415D2571" w:rsidR="001E1373" w:rsidRDefault="001E1373" w:rsidP="001E1373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Solid, low-risk episode. Only action item is reconciling the doc with the actual model/provider before publishing.</w:t>
      </w:r>
    </w:p>
    <w:p w14:paraId="12AACB6D" w14:textId="77777777" w:rsidR="001E1373" w:rsidRPr="001E1373" w:rsidRDefault="001E1373" w:rsidP="001E1373">
      <w:pPr>
        <w:rPr>
          <w:rFonts w:ascii="Calibri" w:hAnsi="Calibri" w:cs="Calibri"/>
          <w:sz w:val="22"/>
        </w:rPr>
      </w:pPr>
    </w:p>
    <w:sectPr w:rsidR="001E1373" w:rsidRPr="001E1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4CC9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40838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73"/>
    <w:rsid w:val="00100BD2"/>
    <w:rsid w:val="001E1373"/>
    <w:rsid w:val="003E13C8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E26E"/>
  <w15:chartTrackingRefBased/>
  <w15:docId w15:val="{7E52F462-DB1B-492F-B209-ECF9B8F8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