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C691" w14:textId="0E6AD5A5" w:rsidR="00F37528" w:rsidRDefault="00154AF8" w:rsidP="00154AF8">
      <w:pPr>
        <w:pStyle w:val="Heading1"/>
      </w:pPr>
      <w:r>
        <w:t>Day 20: Human-in-the-Loop — Analysis</w:t>
      </w:r>
    </w:p>
    <w:p w14:paraId="2447768D" w14:textId="77777777" w:rsidR="00154AF8" w:rsidRDefault="00154AF8" w:rsidP="00154AF8">
      <w:pPr>
        <w:rPr>
          <w:rFonts w:ascii="Calibri" w:hAnsi="Calibri" w:cs="Calibri"/>
          <w:sz w:val="22"/>
        </w:rPr>
      </w:pPr>
    </w:p>
    <w:p w14:paraId="466AD472" w14:textId="0B64FA3A" w:rsidR="00154AF8" w:rsidRDefault="00154AF8" w:rsidP="00154AF8">
      <w:pPr>
        <w:pStyle w:val="Heading2"/>
      </w:pPr>
      <w:r>
        <w:t>What It Teaches</w:t>
      </w:r>
    </w:p>
    <w:p w14:paraId="21C1FFBE" w14:textId="199B8941" w:rsidR="00154AF8" w:rsidRDefault="00154AF8" w:rsidP="00154AF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 production-critical pattern: a hard-coded human approval gate (</w:t>
      </w:r>
      <w:r>
        <w:rPr>
          <w:rFonts w:ascii="Consolas" w:hAnsi="Consolas" w:cs="Calibri"/>
          <w:sz w:val="20"/>
        </w:rPr>
        <w:t>HumanGatekeeper</w:t>
      </w:r>
      <w:r>
        <w:rPr>
          <w:rFonts w:ascii="Calibri" w:hAnsi="Calibri" w:cs="Calibri"/>
          <w:sz w:val="22"/>
        </w:rPr>
        <w:t xml:space="preserve">) that an LLM cannot bypass, with clean separation of concerns across </w:t>
      </w:r>
      <w:r>
        <w:rPr>
          <w:rFonts w:ascii="Consolas" w:hAnsi="Consolas" w:cs="Calibri"/>
          <w:sz w:val="20"/>
        </w:rPr>
        <w:t>AiWorker.cs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HumanGatekeeper.cs</w:t>
      </w:r>
      <w:r>
        <w:rPr>
          <w:rFonts w:ascii="Calibri" w:hAnsi="Calibri" w:cs="Calibri"/>
          <w:sz w:val="22"/>
        </w:rPr>
        <w:t xml:space="preserve">, and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>. The docx's observation that human feedback naturally satisfies Gemini's alternation requirement (no "ghost nudge" needed here, unlike Days 18/19) is a genuinely nice, non-obvious detail worth keeping in the narration.</w:t>
      </w:r>
    </w:p>
    <w:p w14:paraId="6EFB8E1C" w14:textId="77777777" w:rsidR="00154AF8" w:rsidRDefault="00154AF8" w:rsidP="00154AF8">
      <w:pPr>
        <w:rPr>
          <w:rFonts w:ascii="Calibri" w:hAnsi="Calibri" w:cs="Calibri"/>
          <w:sz w:val="22"/>
        </w:rPr>
      </w:pPr>
    </w:p>
    <w:p w14:paraId="47EE815A" w14:textId="23E5272C" w:rsidR="00154AF8" w:rsidRDefault="00154AF8" w:rsidP="00154AF8">
      <w:pPr>
        <w:pStyle w:val="Heading2"/>
      </w:pPr>
      <w:r>
        <w:t>My Assessment</w:t>
      </w:r>
    </w:p>
    <w:p w14:paraId="48AAE87B" w14:textId="5B0D1A34" w:rsidR="00154AF8" w:rsidRDefault="00154AF8" w:rsidP="00154AF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This is one of the best-architected episodes in the series — the three-file split makes it obvious how you'd swap </w:t>
      </w:r>
      <w:r>
        <w:rPr>
          <w:rFonts w:ascii="Consolas" w:hAnsi="Consolas" w:cs="Calibri"/>
          <w:sz w:val="20"/>
        </w:rPr>
        <w:t>HumanGatekeeper</w:t>
      </w:r>
      <w:r>
        <w:rPr>
          <w:rFonts w:ascii="Calibri" w:hAnsi="Calibri" w:cs="Calibri"/>
          <w:sz w:val="22"/>
        </w:rPr>
        <w:t xml:space="preserve"> for, say, an HTTP endpoint awaiting a real approval webhook in production, without touching </w:t>
      </w:r>
      <w:r>
        <w:rPr>
          <w:rFonts w:ascii="Consolas" w:hAnsi="Consolas" w:cs="Calibri"/>
          <w:sz w:val="20"/>
        </w:rPr>
        <w:t>AiWorker</w:t>
      </w:r>
      <w:r>
        <w:rPr>
          <w:rFonts w:ascii="Calibri" w:hAnsi="Calibri" w:cs="Calibri"/>
          <w:sz w:val="22"/>
        </w:rPr>
        <w:t xml:space="preserve"> at all.</w:t>
      </w:r>
    </w:p>
    <w:p w14:paraId="10E65C55" w14:textId="77777777" w:rsidR="00154AF8" w:rsidRDefault="00154AF8" w:rsidP="00154AF8">
      <w:pPr>
        <w:rPr>
          <w:rFonts w:ascii="Calibri" w:hAnsi="Calibri" w:cs="Calibri"/>
          <w:sz w:val="22"/>
        </w:rPr>
      </w:pPr>
    </w:p>
    <w:p w14:paraId="380F7AB6" w14:textId="45A5C8E1" w:rsidR="00154AF8" w:rsidRDefault="00154AF8" w:rsidP="00154AF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One risk worth flagging: </w:t>
      </w:r>
      <w:r>
        <w:rPr>
          <w:rFonts w:ascii="Consolas" w:hAnsi="Consolas" w:cs="Calibri"/>
          <w:sz w:val="20"/>
        </w:rPr>
        <w:t>builder.AddGoogleAIGeminiChatCompletion("gemini-3.1-pro-preview", apiKey)</w:t>
      </w:r>
      <w:r>
        <w:rPr>
          <w:rFonts w:ascii="Calibri" w:hAnsi="Calibri" w:cs="Calibri"/>
          <w:sz w:val="22"/>
        </w:rPr>
        <w:t xml:space="preserve"> hard-codes a </w:t>
      </w:r>
      <w:r>
        <w:rPr>
          <w:rFonts w:ascii="Calibri" w:hAnsi="Calibri" w:cs="Calibri"/>
          <w:b/>
          <w:sz w:val="22"/>
        </w:rPr>
        <w:t>preview</w:t>
      </w:r>
      <w:r>
        <w:rPr>
          <w:rFonts w:ascii="Calibri" w:hAnsi="Calibri" w:cs="Calibri"/>
          <w:sz w:val="22"/>
        </w:rPr>
        <w:t xml:space="preserve"> model identifier. Unlike Day 19/21/22 (which reference the same "3.1 Pro" idea in comments/docs but actually run </w:t>
      </w:r>
      <w:r>
        <w:rPr>
          <w:rFonts w:ascii="Consolas" w:hAnsi="Consolas" w:cs="Calibri"/>
          <w:sz w:val="20"/>
        </w:rPr>
        <w:t>gemini-2.5-flash</w:t>
      </w:r>
      <w:r>
        <w:rPr>
          <w:rFonts w:ascii="Calibri" w:hAnsi="Calibri" w:cs="Calibri"/>
          <w:sz w:val="22"/>
        </w:rPr>
        <w:t>), this one genuinely calls the preview model in the active code path. Preview model IDs are the most likely thing in this whole series to silently stop working for a future viewer (renamed, retired, or access-gated by Google) — worth swapping to a stable GA model ID, or at minimum calling out on camera that this specific line may need to be updated depending on what's current when someone watches the video.</w:t>
      </w:r>
    </w:p>
    <w:p w14:paraId="321AA0C8" w14:textId="77777777" w:rsidR="00154AF8" w:rsidRDefault="00154AF8" w:rsidP="00154AF8">
      <w:pPr>
        <w:rPr>
          <w:rFonts w:ascii="Calibri" w:hAnsi="Calibri" w:cs="Calibri"/>
          <w:sz w:val="22"/>
        </w:rPr>
      </w:pPr>
    </w:p>
    <w:p w14:paraId="31ED9A50" w14:textId="0345BC9E" w:rsidR="00154AF8" w:rsidRDefault="00154AF8" w:rsidP="00154AF8">
      <w:pPr>
        <w:pStyle w:val="Heading2"/>
      </w:pPr>
      <w:r>
        <w:t>Gemini Coupling &amp; Migration to OpenAI/Other LLMs</w:t>
      </w:r>
    </w:p>
    <w:p w14:paraId="2F2EFF2E" w14:textId="7700703F" w:rsidR="00154AF8" w:rsidRDefault="00154AF8" w:rsidP="00154AF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This file uses </w:t>
      </w:r>
      <w:r>
        <w:rPr>
          <w:rFonts w:ascii="Calibri" w:hAnsi="Calibri" w:cs="Calibri"/>
          <w:b/>
          <w:sz w:val="22"/>
        </w:rPr>
        <w:t>no</w:t>
      </w:r>
      <w:r>
        <w:rPr>
          <w:rFonts w:ascii="Calibri" w:hAnsi="Calibri" w:cs="Calibri"/>
          <w:sz w:val="22"/>
        </w:rPr>
        <w:t xml:space="preserve"> Gemini-specific execution-settings types at all — just the plain connector registration and </w:t>
      </w:r>
      <w:r>
        <w:rPr>
          <w:rFonts w:ascii="Consolas" w:hAnsi="Consolas" w:cs="Calibri"/>
          <w:sz w:val="20"/>
        </w:rPr>
        <w:t>IChatCompletionService</w:t>
      </w:r>
      <w:r>
        <w:rPr>
          <w:rFonts w:ascii="Calibri" w:hAnsi="Calibri" w:cs="Calibri"/>
          <w:sz w:val="22"/>
        </w:rPr>
        <w:t>.</w:t>
      </w:r>
    </w:p>
    <w:p w14:paraId="15BB0713" w14:textId="77777777" w:rsidR="00154AF8" w:rsidRDefault="00154AF8" w:rsidP="00154AF8">
      <w:pPr>
        <w:rPr>
          <w:rFonts w:ascii="Calibri" w:hAnsi="Calibri" w:cs="Calibri"/>
          <w:sz w:val="22"/>
        </w:rPr>
      </w:pPr>
    </w:p>
    <w:p w14:paraId="1A8CE16C" w14:textId="29B0B4C4" w:rsidR="00154AF8" w:rsidRDefault="00154AF8" w:rsidP="00154AF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397F8C0D" w14:textId="690013BA" w:rsidR="00154AF8" w:rsidRDefault="00154AF8" w:rsidP="00154AF8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 (</w:t>
      </w:r>
      <w:r>
        <w:rPr>
          <w:rFonts w:ascii="Consolas" w:hAnsi="Consolas" w:cs="Calibri"/>
          <w:sz w:val="20"/>
        </w:rPr>
        <w:t>AddGoogleAIGeminiChatCompletion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AddOpenAIChatCompletion</w:t>
      </w:r>
      <w:r>
        <w:rPr>
          <w:rFonts w:ascii="Calibri" w:hAnsi="Calibri" w:cs="Calibri"/>
          <w:sz w:val="22"/>
        </w:rPr>
        <w:t xml:space="preserve">, using a stable model id like </w:t>
      </w:r>
      <w:r>
        <w:rPr>
          <w:rFonts w:ascii="Consolas" w:hAnsi="Consolas" w:cs="Calibri"/>
          <w:sz w:val="20"/>
        </w:rPr>
        <w:t>gpt-4o</w:t>
      </w:r>
      <w:r>
        <w:rPr>
          <w:rFonts w:ascii="Calibri" w:hAnsi="Calibri" w:cs="Calibri"/>
          <w:sz w:val="22"/>
        </w:rPr>
        <w:t>).</w:t>
      </w:r>
    </w:p>
    <w:p w14:paraId="36672946" w14:textId="77777777" w:rsidR="00154AF8" w:rsidRDefault="00154AF8" w:rsidP="00154AF8">
      <w:pPr>
        <w:rPr>
          <w:rFonts w:ascii="Calibri" w:hAnsi="Calibri" w:cs="Calibri"/>
          <w:sz w:val="22"/>
        </w:rPr>
      </w:pPr>
    </w:p>
    <w:p w14:paraId="6110711E" w14:textId="59380628" w:rsidR="00154AF8" w:rsidRDefault="00154AF8" w:rsidP="00154AF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That's it — </w:t>
      </w:r>
      <w:r>
        <w:rPr>
          <w:rFonts w:ascii="Consolas" w:hAnsi="Consolas" w:cs="Calibri"/>
          <w:sz w:val="20"/>
        </w:rPr>
        <w:t>AiWorker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HumanGatekeeper</w:t>
      </w:r>
      <w:r>
        <w:rPr>
          <w:rFonts w:ascii="Calibri" w:hAnsi="Calibri" w:cs="Calibri"/>
          <w:sz w:val="22"/>
        </w:rPr>
        <w:t xml:space="preserve">, and the orchestration loop need zero changes. </w:t>
      </w:r>
      <w:r>
        <w:rPr>
          <w:rFonts w:ascii="Calibri" w:hAnsi="Calibri" w:cs="Calibri"/>
          <w:b/>
          <w:sz w:val="22"/>
        </w:rPr>
        <w:t>Portability: Trivial</w:t>
      </w:r>
      <w:r>
        <w:rPr>
          <w:rFonts w:ascii="Calibri" w:hAnsi="Calibri" w:cs="Calibri"/>
          <w:sz w:val="22"/>
        </w:rPr>
        <w:t>, and one of the cleanest "one-line swap" demonstrations in the entire series.</w:t>
      </w:r>
    </w:p>
    <w:p w14:paraId="23063E50" w14:textId="77777777" w:rsidR="00154AF8" w:rsidRDefault="00154AF8" w:rsidP="00154AF8">
      <w:pPr>
        <w:rPr>
          <w:rFonts w:ascii="Calibri" w:hAnsi="Calibri" w:cs="Calibri"/>
          <w:sz w:val="22"/>
        </w:rPr>
      </w:pPr>
    </w:p>
    <w:p w14:paraId="7BE5F24B" w14:textId="3F8D117F" w:rsidR="00154AF8" w:rsidRDefault="00154AF8" w:rsidP="00154AF8">
      <w:pPr>
        <w:pStyle w:val="Heading2"/>
      </w:pPr>
      <w:r>
        <w:t>Verdict</w:t>
      </w:r>
    </w:p>
    <w:p w14:paraId="6903FAF1" w14:textId="58BEE137" w:rsidR="00154AF8" w:rsidRDefault="00154AF8" w:rsidP="00154AF8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Excellent architecture and a genuinely important lesson (HITL gates). Swap the preview model ID for a stable one before recording so the demo doesn't age out.</w:t>
      </w:r>
    </w:p>
    <w:p w14:paraId="0F6309A0" w14:textId="77777777" w:rsidR="00154AF8" w:rsidRPr="00154AF8" w:rsidRDefault="00154AF8" w:rsidP="00154AF8">
      <w:pPr>
        <w:rPr>
          <w:rFonts w:ascii="Calibri" w:hAnsi="Calibri" w:cs="Calibri"/>
          <w:sz w:val="22"/>
        </w:rPr>
      </w:pPr>
    </w:p>
    <w:sectPr w:rsidR="00154AF8" w:rsidRPr="00154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961C9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83155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F8"/>
    <w:rsid w:val="00100BD2"/>
    <w:rsid w:val="00154AF8"/>
    <w:rsid w:val="003E13C8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9265"/>
  <w15:chartTrackingRefBased/>
  <w15:docId w15:val="{95170FE8-220E-4E7B-88FB-2D69BDE3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