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A0AA" w14:textId="2B55321A" w:rsidR="00F37528" w:rsidRDefault="009268DC" w:rsidP="009268DC">
      <w:pPr>
        <w:pStyle w:val="Heading1"/>
      </w:pPr>
      <w:r>
        <w:t>Day 21: Semantic Routing — Analysis</w:t>
      </w:r>
    </w:p>
    <w:p w14:paraId="21B51C7A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20FD7E3B" w14:textId="37E05A0D" w:rsidR="009268DC" w:rsidRDefault="009268DC" w:rsidP="009268DC">
      <w:pPr>
        <w:pStyle w:val="Heading2"/>
      </w:pPr>
      <w:r>
        <w:t>What It Teaches</w:t>
      </w:r>
    </w:p>
    <w:p w14:paraId="49158F7A" w14:textId="1413581B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Two strong, independently valuable lessons: (1) upfront intent classification via forced JSON output, avoiding the cost/latency/hallucination risk of handing one agent dozens of tools; and (2) </w:t>
      </w:r>
      <w:r>
        <w:rPr>
          <w:rFonts w:ascii="Consolas" w:hAnsi="Consolas" w:cs="Calibri"/>
          <w:sz w:val="20"/>
        </w:rPr>
        <w:t>Kernel.Clone()</w:t>
      </w:r>
      <w:r>
        <w:rPr>
          <w:rFonts w:ascii="Calibri" w:hAnsi="Calibri" w:cs="Calibri"/>
          <w:sz w:val="22"/>
        </w:rPr>
        <w:t xml:space="preserve"> to spin up isolated child kernels per domain, so the Billing agent's kernel </w:t>
      </w:r>
      <w:r>
        <w:rPr>
          <w:rFonts w:ascii="Calibri" w:hAnsi="Calibri" w:cs="Calibri"/>
          <w:i/>
          <w:sz w:val="22"/>
        </w:rPr>
        <w:t>cannot</w:t>
      </w:r>
      <w:r>
        <w:rPr>
          <w:rFonts w:ascii="Calibri" w:hAnsi="Calibri" w:cs="Calibri"/>
          <w:sz w:val="22"/>
        </w:rPr>
        <w:t xml:space="preserve"> physically access the Tech agent's </w:t>
      </w:r>
      <w:r>
        <w:rPr>
          <w:rFonts w:ascii="Consolas" w:hAnsi="Consolas" w:cs="Calibri"/>
          <w:sz w:val="20"/>
        </w:rPr>
        <w:t>ResetPassword</w:t>
      </w:r>
      <w:r>
        <w:rPr>
          <w:rFonts w:ascii="Calibri" w:hAnsi="Calibri" w:cs="Calibri"/>
          <w:sz w:val="22"/>
        </w:rPr>
        <w:t xml:space="preserve"> tool even if a user tries to trick it into doing so. The </w:t>
      </w:r>
      <w:r>
        <w:rPr>
          <w:rFonts w:ascii="Consolas" w:hAnsi="Consolas" w:cs="Calibri"/>
          <w:sz w:val="20"/>
        </w:rPr>
        <w:t>.Clone()</w:t>
      </w:r>
      <w:r>
        <w:rPr>
          <w:rFonts w:ascii="Calibri" w:hAnsi="Calibri" w:cs="Calibri"/>
          <w:sz w:val="22"/>
        </w:rPr>
        <w:t>-based isolation is genuinely one of the best security-by-design lessons in the whole series.</w:t>
      </w:r>
    </w:p>
    <w:p w14:paraId="20A0B255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495A290F" w14:textId="22E5FB4B" w:rsidR="009268DC" w:rsidRDefault="009268DC" w:rsidP="009268DC">
      <w:pPr>
        <w:pStyle w:val="Heading2"/>
      </w:pPr>
      <w:r>
        <w:t>My Assessment</w:t>
      </w:r>
    </w:p>
    <w:p w14:paraId="795B4B58" w14:textId="4D7B5353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Same model-narration inconsistency as Day 19/22: the docx and in-code comment both reference "Gemini 3.1 Pro," with a commented-out </w:t>
      </w:r>
      <w:r>
        <w:rPr>
          <w:rFonts w:ascii="Consolas" w:hAnsi="Consolas" w:cs="Calibri"/>
          <w:sz w:val="20"/>
        </w:rPr>
        <w:t>//builder.AddGoogleAIGeminiChatCompletion("gemini-3.1-pro-preview", apiKey);</w:t>
      </w:r>
      <w:r>
        <w:rPr>
          <w:rFonts w:ascii="Calibri" w:hAnsi="Calibri" w:cs="Calibri"/>
          <w:sz w:val="22"/>
        </w:rPr>
        <w:t xml:space="preserve"> line sitting directly above the active </w:t>
      </w:r>
      <w:r>
        <w:rPr>
          <w:rFonts w:ascii="Consolas" w:hAnsi="Consolas" w:cs="Calibri"/>
          <w:sz w:val="20"/>
        </w:rPr>
        <w:t>builder.AddGoogleAIGeminiChatCompletion("gemini-2.5-flash", apiKey);</w:t>
      </w:r>
      <w:r>
        <w:rPr>
          <w:rFonts w:ascii="Calibri" w:hAnsi="Calibri" w:cs="Calibri"/>
          <w:sz w:val="22"/>
        </w:rPr>
        <w:t>. This is now the third episode in the 19–22 range with this exact pattern (aspirational Pro-tier model referenced in prose, Flash actually running) — strongly suggests a single find-and-replace pass is needed across Days 19, 21, and 22 (and their docs) to make the narration match the shipped model consistently.</w:t>
      </w:r>
    </w:p>
    <w:p w14:paraId="056A39E5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295A2647" w14:textId="08A7E24A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five-file split (</w:t>
      </w:r>
      <w:r>
        <w:rPr>
          <w:rFonts w:ascii="Consolas" w:hAnsi="Consolas" w:cs="Calibri"/>
          <w:sz w:val="20"/>
        </w:rPr>
        <w:t>RouteDecision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SemanticRouter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TechSupportAgent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BillingAgent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Program</w:t>
      </w:r>
      <w:r>
        <w:rPr>
          <w:rFonts w:ascii="Calibri" w:hAnsi="Calibri" w:cs="Calibri"/>
          <w:sz w:val="22"/>
        </w:rPr>
        <w:t>) is clean and a good structural model for later multi-agent episodes to follow.</w:t>
      </w:r>
    </w:p>
    <w:p w14:paraId="5870978E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42CE964D" w14:textId="0A68DF1E" w:rsidR="009268DC" w:rsidRDefault="009268DC" w:rsidP="009268DC">
      <w:pPr>
        <w:pStyle w:val="Heading2"/>
      </w:pPr>
      <w:r>
        <w:t>Gemini Coupling &amp; Migration to OpenAI/Other LLMs</w:t>
      </w:r>
    </w:p>
    <w:p w14:paraId="792D851F" w14:textId="21EA5930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Touch points: </w:t>
      </w:r>
      <w:r>
        <w:rPr>
          <w:rFonts w:ascii="Consolas" w:hAnsi="Consolas" w:cs="Calibri"/>
          <w:sz w:val="20"/>
        </w:rPr>
        <w:t>GeminiPromptExecutionSettings { ResponseMimeType = "application/json" }</w:t>
      </w:r>
      <w:r>
        <w:rPr>
          <w:rFonts w:ascii="Calibri" w:hAnsi="Calibri" w:cs="Calibri"/>
          <w:sz w:val="22"/>
        </w:rPr>
        <w:t xml:space="preserve"> in </w:t>
      </w:r>
      <w:r>
        <w:rPr>
          <w:rFonts w:ascii="Consolas" w:hAnsi="Consolas" w:cs="Calibri"/>
          <w:sz w:val="20"/>
        </w:rPr>
        <w:t>SemanticRouter.cs</w:t>
      </w:r>
      <w:r>
        <w:rPr>
          <w:rFonts w:ascii="Calibri" w:hAnsi="Calibri" w:cs="Calibri"/>
          <w:sz w:val="22"/>
        </w:rPr>
        <w:t xml:space="preserve">, and </w:t>
      </w: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in both specialist agents.</w:t>
      </w:r>
    </w:p>
    <w:p w14:paraId="722D09B6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0B990326" w14:textId="081A7876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6A1230FB" w14:textId="7874E891" w:rsidR="009268DC" w:rsidRDefault="009268DC" w:rsidP="009268D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1A71785E" w14:textId="6379AB21" w:rsidR="009268DC" w:rsidRDefault="009268DC" w:rsidP="009268D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ResponseMimeType = "application/json"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OpenAIPromptExecutionSettings.ResponseFormat = "json_object"</w:t>
      </w:r>
      <w:r>
        <w:rPr>
          <w:rFonts w:ascii="Calibri" w:hAnsi="Calibri" w:cs="Calibri"/>
          <w:sz w:val="22"/>
        </w:rPr>
        <w:t xml:space="preserve"> (real code change, same as Day 19 — not a rename).</w:t>
      </w:r>
    </w:p>
    <w:p w14:paraId="17E1D4CF" w14:textId="711FE289" w:rsidR="009268DC" w:rsidRDefault="009268DC" w:rsidP="009268D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FunctionChoiceBehavior.Auto()</w:t>
      </w:r>
      <w:r>
        <w:rPr>
          <w:rFonts w:ascii="Calibri" w:hAnsi="Calibri" w:cs="Calibri"/>
          <w:sz w:val="22"/>
        </w:rPr>
        <w:t xml:space="preserve"> in </w:t>
      </w:r>
      <w:r>
        <w:rPr>
          <w:rFonts w:ascii="Consolas" w:hAnsi="Consolas" w:cs="Calibri"/>
          <w:sz w:val="20"/>
        </w:rPr>
        <w:t>TechSupportAgent</w:t>
      </w:r>
      <w:r>
        <w:rPr>
          <w:rFonts w:ascii="Calibri" w:hAnsi="Calibri" w:cs="Calibri"/>
          <w:sz w:val="22"/>
        </w:rPr>
        <w:t>/</w:t>
      </w:r>
      <w:r>
        <w:rPr>
          <w:rFonts w:ascii="Consolas" w:hAnsi="Consolas" w:cs="Calibri"/>
          <w:sz w:val="20"/>
        </w:rPr>
        <w:t>BillingAgent</w:t>
      </w:r>
      <w:r>
        <w:rPr>
          <w:rFonts w:ascii="Calibri" w:hAnsi="Calibri" w:cs="Calibri"/>
          <w:sz w:val="22"/>
        </w:rPr>
        <w:t>.</w:t>
      </w:r>
    </w:p>
    <w:p w14:paraId="68CB7088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71973C0D" w14:textId="59DB1561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Kernel.Clone()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RouteDecision</w:t>
      </w:r>
      <w:r>
        <w:rPr>
          <w:rFonts w:ascii="Calibri" w:hAnsi="Calibri" w:cs="Calibri"/>
          <w:sz w:val="22"/>
        </w:rPr>
        <w:t xml:space="preserve">, and the switch-based dispatch in </w:t>
      </w:r>
      <w:r>
        <w:rPr>
          <w:rFonts w:ascii="Consolas" w:hAnsi="Consolas" w:cs="Calibri"/>
          <w:sz w:val="20"/>
        </w:rPr>
        <w:t>Program.cs</w:t>
      </w:r>
      <w:r>
        <w:rPr>
          <w:rFonts w:ascii="Calibri" w:hAnsi="Calibri" w:cs="Calibri"/>
          <w:sz w:val="22"/>
        </w:rPr>
        <w:t xml:space="preserve"> need </w:t>
      </w:r>
      <w:r>
        <w:rPr>
          <w:rFonts w:ascii="Calibri" w:hAnsi="Calibri" w:cs="Calibri"/>
          <w:b/>
          <w:sz w:val="22"/>
        </w:rPr>
        <w:t>zero</w:t>
      </w:r>
      <w:r>
        <w:rPr>
          <w:rFonts w:ascii="Calibri" w:hAnsi="Calibri" w:cs="Calibri"/>
          <w:sz w:val="22"/>
        </w:rPr>
        <w:t xml:space="preserve"> changes — the isolation pattern is entirely provider-agnostic. </w:t>
      </w:r>
      <w:r>
        <w:rPr>
          <w:rFonts w:ascii="Calibri" w:hAnsi="Calibri" w:cs="Calibri"/>
          <w:b/>
          <w:sz w:val="22"/>
        </w:rPr>
        <w:t>Portability: Easy.</w:t>
      </w:r>
    </w:p>
    <w:p w14:paraId="7DA62900" w14:textId="77777777" w:rsidR="009268DC" w:rsidRDefault="009268DC" w:rsidP="009268DC">
      <w:pPr>
        <w:rPr>
          <w:rFonts w:ascii="Calibri" w:hAnsi="Calibri" w:cs="Calibri"/>
          <w:sz w:val="22"/>
        </w:rPr>
      </w:pPr>
    </w:p>
    <w:p w14:paraId="464C9BDD" w14:textId="0404469B" w:rsidR="009268DC" w:rsidRDefault="009268DC" w:rsidP="009268DC">
      <w:pPr>
        <w:pStyle w:val="Heading2"/>
      </w:pPr>
      <w:r>
        <w:t>Verdict</w:t>
      </w:r>
    </w:p>
    <w:p w14:paraId="52A61FC3" w14:textId="4A1D6DCE" w:rsidR="009268DC" w:rsidRDefault="009268DC" w:rsidP="009268D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One of the strongest architectural lessons in the series (kernel isolation for tool security). Resolve the recurring Gemini-3.1-Pro-vs-2.5-Flash narration mismatch across Days 19/21/22 in one pass before recording.</w:t>
      </w:r>
    </w:p>
    <w:p w14:paraId="36817949" w14:textId="77777777" w:rsidR="009268DC" w:rsidRPr="009268DC" w:rsidRDefault="009268DC" w:rsidP="009268DC">
      <w:pPr>
        <w:rPr>
          <w:rFonts w:ascii="Calibri" w:hAnsi="Calibri" w:cs="Calibri"/>
          <w:sz w:val="22"/>
        </w:rPr>
      </w:pPr>
    </w:p>
    <w:sectPr w:rsidR="009268DC" w:rsidRPr="00926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E4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45837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DC"/>
    <w:rsid w:val="00100BD2"/>
    <w:rsid w:val="003E13C8"/>
    <w:rsid w:val="00891DA8"/>
    <w:rsid w:val="009268DC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55A5"/>
  <w15:chartTrackingRefBased/>
  <w15:docId w15:val="{CC09CD05-B1DA-4E72-A43F-672ACDCF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