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8B728" w14:textId="0A809414" w:rsidR="00F37528" w:rsidRDefault="009A1ACC" w:rsidP="009A1ACC">
      <w:pPr>
        <w:pStyle w:val="Heading1"/>
      </w:pPr>
      <w:r>
        <w:t>Day 22: Prompt and Function Filters — Analysis</w:t>
      </w:r>
    </w:p>
    <w:p w14:paraId="5E24D5D0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0BC4D1EC" w14:textId="18B5FDFD" w:rsidR="009A1ACC" w:rsidRDefault="009A1ACC" w:rsidP="009A1ACC">
      <w:pPr>
        <w:pStyle w:val="Heading2"/>
      </w:pPr>
      <w:r>
        <w:t>What It Teaches</w:t>
      </w:r>
    </w:p>
    <w:p w14:paraId="06DDC59B" w14:textId="7D2A1F9D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SK's middleware layer: </w:t>
      </w:r>
      <w:r>
        <w:rPr>
          <w:rFonts w:ascii="Consolas" w:hAnsi="Consolas" w:cs="Calibri"/>
          <w:sz w:val="20"/>
        </w:rPr>
        <w:t>IPromptRenderFilter</w:t>
      </w:r>
      <w:r>
        <w:rPr>
          <w:rFonts w:ascii="Calibri" w:hAnsi="Calibri" w:cs="Calibri"/>
          <w:sz w:val="22"/>
        </w:rPr>
        <w:t xml:space="preserve"> (intercepts the fully-rendered prompt right before it leaves the process) and </w:t>
      </w:r>
      <w:r>
        <w:rPr>
          <w:rFonts w:ascii="Consolas" w:hAnsi="Consolas" w:cs="Calibri"/>
          <w:sz w:val="20"/>
        </w:rPr>
        <w:t>IFunctionInvocationFilter</w:t>
      </w:r>
      <w:r>
        <w:rPr>
          <w:rFonts w:ascii="Calibri" w:hAnsi="Calibri" w:cs="Calibri"/>
          <w:sz w:val="22"/>
        </w:rPr>
        <w:t xml:space="preserve"> (wraps every plugin call with pre/post hooks), both registered through standard </w:t>
      </w:r>
      <w:r>
        <w:rPr>
          <w:rFonts w:ascii="Consolas" w:hAnsi="Consolas" w:cs="Calibri"/>
          <w:sz w:val="20"/>
        </w:rPr>
        <w:t>IServiceCollection</w:t>
      </w:r>
      <w:r>
        <w:rPr>
          <w:rFonts w:ascii="Calibri" w:hAnsi="Calibri" w:cs="Calibri"/>
          <w:sz w:val="22"/>
        </w:rPr>
        <w:t xml:space="preserve"> DI. The ASP.NET-middleware framing in the docx is an apt and useful comparison for viewers with web backgrounds.</w:t>
      </w:r>
    </w:p>
    <w:p w14:paraId="62B67F5A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5D3DCF04" w14:textId="273BA1E0" w:rsidR="009A1ACC" w:rsidRDefault="009A1ACC" w:rsidP="009A1ACC">
      <w:pPr>
        <w:pStyle w:val="Heading2"/>
      </w:pPr>
      <w:r>
        <w:t>My Assessment</w:t>
      </w:r>
    </w:p>
    <w:p w14:paraId="4C2A1536" w14:textId="601C90F5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Well-designed episode. </w:t>
      </w:r>
      <w:r>
        <w:rPr>
          <w:rFonts w:ascii="Consolas" w:hAnsi="Consolas" w:cs="Calibri"/>
          <w:sz w:val="20"/>
        </w:rPr>
        <w:t>SecureDatabasePlugin</w:t>
      </w:r>
      <w:r>
        <w:rPr>
          <w:rFonts w:ascii="Calibri" w:hAnsi="Calibri" w:cs="Calibri"/>
          <w:sz w:val="22"/>
        </w:rPr>
        <w:t xml:space="preserve"> stays completely free of logging/timing concerns because that's all pushed into the filters — a clean illustration of separating cross-cutting concerns from business logic, which is exactly the point.</w:t>
      </w:r>
    </w:p>
    <w:p w14:paraId="56091C18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0DCBEF40" w14:textId="57F8D6F5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Same recurring model-narration issue as Days 19 and 21: docx/comments reference "Gemini 3.1 Pro" while the actual line running is </w:t>
      </w:r>
      <w:r>
        <w:rPr>
          <w:rFonts w:ascii="Consolas" w:hAnsi="Consolas" w:cs="Calibri"/>
          <w:sz w:val="20"/>
        </w:rPr>
        <w:t>AddGoogleAIGeminiChatCompletion("gemini-3.1-pro", apiKey)</w:t>
      </w:r>
      <w:r>
        <w:rPr>
          <w:rFonts w:ascii="Calibri" w:hAnsi="Calibri" w:cs="Calibri"/>
          <w:sz w:val="22"/>
        </w:rPr>
        <w:t xml:space="preserve"> — note this one doesn't even have the commented-out fallback pattern the other two do, it directly hard-codes </w:t>
      </w:r>
      <w:r>
        <w:rPr>
          <w:rFonts w:ascii="Consolas" w:hAnsi="Consolas" w:cs="Calibri"/>
          <w:sz w:val="20"/>
        </w:rPr>
        <w:t>"gemini-3.1-pro"</w:t>
      </w:r>
      <w:r>
        <w:rPr>
          <w:rFonts w:ascii="Calibri" w:hAnsi="Calibri" w:cs="Calibri"/>
          <w:sz w:val="22"/>
        </w:rPr>
        <w:t xml:space="preserve"> (no </w:t>
      </w:r>
      <w:r>
        <w:rPr>
          <w:rFonts w:ascii="Consolas" w:hAnsi="Consolas" w:cs="Calibri"/>
          <w:sz w:val="20"/>
        </w:rPr>
        <w:t>-preview</w:t>
      </w:r>
      <w:r>
        <w:rPr>
          <w:rFonts w:ascii="Calibri" w:hAnsi="Calibri" w:cs="Calibri"/>
          <w:sz w:val="22"/>
        </w:rPr>
        <w:t xml:space="preserve"> suffix) as the live model ID, which may not correspond to a real, currently-available model at all depending on when this is run. Worth verifying this exact model string resolves successfully before recording, or reverting to </w:t>
      </w:r>
      <w:r>
        <w:rPr>
          <w:rFonts w:ascii="Consolas" w:hAnsi="Consolas" w:cs="Calibri"/>
          <w:sz w:val="20"/>
        </w:rPr>
        <w:t>gemini-2.5-flash</w:t>
      </w:r>
      <w:r>
        <w:rPr>
          <w:rFonts w:ascii="Calibri" w:hAnsi="Calibri" w:cs="Calibri"/>
          <w:sz w:val="22"/>
        </w:rPr>
        <w:t xml:space="preserve"> like its siblings for consistency.</w:t>
      </w:r>
    </w:p>
    <w:p w14:paraId="49BE8836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14D190F7" w14:textId="46B3064F" w:rsidR="009A1ACC" w:rsidRDefault="009A1ACC" w:rsidP="009A1ACC">
      <w:pPr>
        <w:pStyle w:val="Heading2"/>
      </w:pPr>
      <w:r>
        <w:t>Gemini Coupling &amp; Migration to OpenAI/Other LLMs</w:t>
      </w:r>
    </w:p>
    <w:p w14:paraId="42F55FCD" w14:textId="409F6A32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GeminiPromptExecutionSettings { ToolCallBehavior = GeminiToolCallBehavior.AutoInvokeKernelFunctions }</w:t>
      </w:r>
      <w:r>
        <w:rPr>
          <w:rFonts w:ascii="Calibri" w:hAnsi="Calibri" w:cs="Calibri"/>
          <w:sz w:val="22"/>
        </w:rPr>
        <w:t>.</w:t>
      </w:r>
    </w:p>
    <w:p w14:paraId="789D04AC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5589BBEC" w14:textId="1FFB4260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5438D2BA" w14:textId="66A8F183" w:rsidR="009A1ACC" w:rsidRDefault="009A1ACC" w:rsidP="009A1AC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71589519" w14:textId="387F3349" w:rsidR="009A1ACC" w:rsidRDefault="009A1ACC" w:rsidP="009A1AC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GeminiToolCallBehavior.AutoInvokeKernelFunctions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FunctionChoiceBehavior.Auto()</w:t>
      </w:r>
      <w:r>
        <w:rPr>
          <w:rFonts w:ascii="Calibri" w:hAnsi="Calibri" w:cs="Calibri"/>
          <w:sz w:val="22"/>
        </w:rPr>
        <w:t>.</w:t>
      </w:r>
    </w:p>
    <w:p w14:paraId="4B219507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711E751F" w14:textId="20F577B4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IPromptRenderFilter</w:t>
      </w:r>
      <w:r>
        <w:rPr>
          <w:rFonts w:ascii="Calibri" w:hAnsi="Calibri" w:cs="Calibri"/>
          <w:sz w:val="22"/>
        </w:rPr>
        <w:t xml:space="preserve"> and </w:t>
      </w:r>
      <w:r>
        <w:rPr>
          <w:rFonts w:ascii="Consolas" w:hAnsi="Consolas" w:cs="Calibri"/>
          <w:sz w:val="20"/>
        </w:rPr>
        <w:t>IFunctionInvocationFilter</w:t>
      </w:r>
      <w:r>
        <w:rPr>
          <w:rFonts w:ascii="Calibri" w:hAnsi="Calibri" w:cs="Calibri"/>
          <w:sz w:val="22"/>
        </w:rPr>
        <w:t xml:space="preserve"> are core SK abstractions that don't know or care which connector is active — </w:t>
      </w:r>
      <w:r>
        <w:rPr>
          <w:rFonts w:ascii="Calibri" w:hAnsi="Calibri" w:cs="Calibri"/>
          <w:b/>
          <w:sz w:val="22"/>
        </w:rPr>
        <w:t>zero changes needed</w:t>
      </w:r>
      <w:r>
        <w:rPr>
          <w:rFonts w:ascii="Calibri" w:hAnsi="Calibri" w:cs="Calibri"/>
          <w:sz w:val="22"/>
        </w:rPr>
        <w:t xml:space="preserve"> to </w:t>
      </w:r>
      <w:r>
        <w:rPr>
          <w:rFonts w:ascii="Consolas" w:hAnsi="Consolas" w:cs="Calibri"/>
          <w:sz w:val="20"/>
        </w:rPr>
        <w:t>PromptLoggingFilter.cs</w:t>
      </w:r>
      <w:r>
        <w:rPr>
          <w:rFonts w:ascii="Calibri" w:hAnsi="Calibri" w:cs="Calibri"/>
          <w:sz w:val="22"/>
        </w:rPr>
        <w:t xml:space="preserve">, </w:t>
      </w:r>
      <w:r>
        <w:rPr>
          <w:rFonts w:ascii="Consolas" w:hAnsi="Consolas" w:cs="Calibri"/>
          <w:sz w:val="20"/>
        </w:rPr>
        <w:t>AuditFunctionFilter.cs</w:t>
      </w:r>
      <w:r>
        <w:rPr>
          <w:rFonts w:ascii="Calibri" w:hAnsi="Calibri" w:cs="Calibri"/>
          <w:sz w:val="22"/>
        </w:rPr>
        <w:t xml:space="preserve">, or </w:t>
      </w:r>
      <w:r>
        <w:rPr>
          <w:rFonts w:ascii="Consolas" w:hAnsi="Consolas" w:cs="Calibri"/>
          <w:sz w:val="20"/>
        </w:rPr>
        <w:t>SecureDatabasePlugin.cs</w:t>
      </w:r>
      <w:r>
        <w:rPr>
          <w:rFonts w:ascii="Calibri" w:hAnsi="Calibri" w:cs="Calibri"/>
          <w:sz w:val="22"/>
        </w:rPr>
        <w:t xml:space="preserve">. </w:t>
      </w:r>
      <w:r>
        <w:rPr>
          <w:rFonts w:ascii="Calibri" w:hAnsi="Calibri" w:cs="Calibri"/>
          <w:b/>
          <w:sz w:val="22"/>
        </w:rPr>
        <w:t>Portability: Trivial</w:t>
      </w:r>
      <w:r>
        <w:rPr>
          <w:rFonts w:ascii="Calibri" w:hAnsi="Calibri" w:cs="Calibri"/>
          <w:sz w:val="22"/>
        </w:rPr>
        <w:t>, and a strong "your middleware survives a vendor swap" talking point.</w:t>
      </w:r>
    </w:p>
    <w:p w14:paraId="43EAC550" w14:textId="77777777" w:rsidR="009A1ACC" w:rsidRDefault="009A1ACC" w:rsidP="009A1ACC">
      <w:pPr>
        <w:rPr>
          <w:rFonts w:ascii="Calibri" w:hAnsi="Calibri" w:cs="Calibri"/>
          <w:sz w:val="22"/>
        </w:rPr>
      </w:pPr>
    </w:p>
    <w:p w14:paraId="45939105" w14:textId="492F4827" w:rsidR="009A1ACC" w:rsidRDefault="009A1ACC" w:rsidP="009A1ACC">
      <w:pPr>
        <w:pStyle w:val="Heading2"/>
      </w:pPr>
      <w:r>
        <w:t>Verdict</w:t>
      </w:r>
    </w:p>
    <w:p w14:paraId="4FF55498" w14:textId="2C30F8AB" w:rsidR="009A1ACC" w:rsidRDefault="009A1ACC" w:rsidP="009A1ACC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Great, focused lesson on SK's filter pipeline. Verify (or fix) the </w:t>
      </w:r>
      <w:r>
        <w:rPr>
          <w:rFonts w:ascii="Consolas" w:hAnsi="Consolas" w:cs="Calibri"/>
          <w:sz w:val="20"/>
        </w:rPr>
        <w:t>"gemini-3.1-pro"</w:t>
      </w:r>
      <w:r>
        <w:rPr>
          <w:rFonts w:ascii="Calibri" w:hAnsi="Calibri" w:cs="Calibri"/>
          <w:sz w:val="22"/>
        </w:rPr>
        <w:t xml:space="preserve"> model string before recording — it's the least-guarded of the three Days 19/21/22 model references.</w:t>
      </w:r>
    </w:p>
    <w:p w14:paraId="0AD853A7" w14:textId="77777777" w:rsidR="009A1ACC" w:rsidRPr="009A1ACC" w:rsidRDefault="009A1ACC" w:rsidP="009A1ACC">
      <w:pPr>
        <w:rPr>
          <w:rFonts w:ascii="Calibri" w:hAnsi="Calibri" w:cs="Calibri"/>
          <w:sz w:val="22"/>
        </w:rPr>
      </w:pPr>
    </w:p>
    <w:sectPr w:rsidR="009A1ACC" w:rsidRPr="009A1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E682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58669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CC"/>
    <w:rsid w:val="00100BD2"/>
    <w:rsid w:val="003E13C8"/>
    <w:rsid w:val="00891DA8"/>
    <w:rsid w:val="009A1ACC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F8D19"/>
  <w15:chartTrackingRefBased/>
  <w15:docId w15:val="{33207EEA-5D95-4CF0-9564-31E95E41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