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2A46B" w14:textId="2B24E1A2" w:rsidR="00F37528" w:rsidRDefault="00352C3E" w:rsidP="00352C3E">
      <w:pPr>
        <w:pStyle w:val="Heading1"/>
      </w:pPr>
      <w:r>
        <w:t>Day 5: The Researcher — Analysis</w:t>
      </w:r>
    </w:p>
    <w:p w14:paraId="6FC9AB42" w14:textId="77777777" w:rsidR="00352C3E" w:rsidRDefault="00352C3E" w:rsidP="00352C3E">
      <w:pPr>
        <w:rPr>
          <w:rFonts w:ascii="Calibri" w:hAnsi="Calibri" w:cs="Calibri"/>
          <w:sz w:val="22"/>
        </w:rPr>
      </w:pPr>
    </w:p>
    <w:p w14:paraId="167C65E8" w14:textId="3D5E2948" w:rsidR="00352C3E" w:rsidRDefault="00352C3E" w:rsidP="00352C3E">
      <w:pPr>
        <w:pStyle w:val="Heading2"/>
      </w:pPr>
      <w:r>
        <w:t>What It Teaches</w:t>
      </w:r>
    </w:p>
    <w:p w14:paraId="3F84AC6E" w14:textId="0F705303" w:rsidR="00352C3E" w:rsidRDefault="00352C3E" w:rsidP="00352C3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Real-time grounding via Gemini's native Google Search tool, injected through </w:t>
      </w:r>
      <w:r>
        <w:rPr>
          <w:rFonts w:ascii="Consolas" w:hAnsi="Consolas" w:cs="Calibri"/>
          <w:sz w:val="20"/>
        </w:rPr>
        <w:t>GeminiPromptExecutionSettings.ExtensionData["tools"]</w:t>
      </w:r>
      <w:r>
        <w:rPr>
          <w:rFonts w:ascii="Calibri" w:hAnsi="Calibri" w:cs="Calibri"/>
          <w:sz w:val="22"/>
        </w:rPr>
        <w:t xml:space="preserve">. The comment "do NOT use </w:t>
      </w:r>
      <w:r>
        <w:rPr>
          <w:rFonts w:ascii="Consolas" w:hAnsi="Consolas" w:cs="Calibri"/>
          <w:sz w:val="20"/>
        </w:rPr>
        <w:t>ToolCallBehavior</w:t>
      </w:r>
      <w:r>
        <w:rPr>
          <w:rFonts w:ascii="Calibri" w:hAnsi="Calibri" w:cs="Calibri"/>
          <w:sz w:val="22"/>
        </w:rPr>
        <w:t xml:space="preserve"> here or Gemini will lose internet access" is a genuinely useful, non-obvious gotcha to teach — it shows viewers that SK's tool-calling abstraction and a vendor's </w:t>
      </w:r>
      <w:r>
        <w:rPr>
          <w:rFonts w:ascii="Calibri" w:hAnsi="Calibri" w:cs="Calibri"/>
          <w:i/>
          <w:sz w:val="22"/>
        </w:rPr>
        <w:t>built-in</w:t>
      </w:r>
      <w:r>
        <w:rPr>
          <w:rFonts w:ascii="Calibri" w:hAnsi="Calibri" w:cs="Calibri"/>
          <w:sz w:val="22"/>
        </w:rPr>
        <w:t xml:space="preserve"> server-side tools are two different mechanisms that can conflict.</w:t>
      </w:r>
    </w:p>
    <w:p w14:paraId="5C30A368" w14:textId="77777777" w:rsidR="00352C3E" w:rsidRDefault="00352C3E" w:rsidP="00352C3E">
      <w:pPr>
        <w:rPr>
          <w:rFonts w:ascii="Calibri" w:hAnsi="Calibri" w:cs="Calibri"/>
          <w:sz w:val="22"/>
        </w:rPr>
      </w:pPr>
    </w:p>
    <w:p w14:paraId="16A4BA7A" w14:textId="4892979D" w:rsidR="00352C3E" w:rsidRDefault="00352C3E" w:rsidP="00352C3E">
      <w:pPr>
        <w:pStyle w:val="Heading2"/>
      </w:pPr>
      <w:r>
        <w:t>My Assessment</w:t>
      </w:r>
    </w:p>
    <w:p w14:paraId="38D1ADB9" w14:textId="6564CD99" w:rsidR="00352C3E" w:rsidRDefault="00352C3E" w:rsidP="00352C3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Functionally fine, but this is the least portable episode written so far, and it's worth being upfront with the audience about that trade-off rather than presenting it as "just another SK feature." There's also a structural oddity worth fixing: the </w:t>
      </w:r>
      <w:r>
        <w:rPr>
          <w:rFonts w:ascii="Consolas" w:hAnsi="Consolas" w:cs="Calibri"/>
          <w:sz w:val="20"/>
        </w:rPr>
        <w:t>.csproj</w:t>
      </w:r>
      <w:r>
        <w:rPr>
          <w:rFonts w:ascii="Calibri" w:hAnsi="Calibri" w:cs="Calibri"/>
          <w:sz w:val="22"/>
        </w:rPr>
        <w:t xml:space="preserve"> references </w:t>
      </w:r>
      <w:r>
        <w:rPr>
          <w:rFonts w:ascii="Consolas" w:hAnsi="Consolas" w:cs="Calibri"/>
          <w:sz w:val="20"/>
        </w:rPr>
        <w:t>Microsoft.SemanticKernel.Plugins.Web</w:t>
      </w:r>
      <w:r>
        <w:rPr>
          <w:rFonts w:ascii="Calibri" w:hAnsi="Calibri" w:cs="Calibri"/>
          <w:sz w:val="22"/>
        </w:rPr>
        <w:t xml:space="preserve">, but </w:t>
      </w:r>
      <w:r>
        <w:rPr>
          <w:rFonts w:ascii="Consolas" w:hAnsi="Consolas" w:cs="Calibri"/>
          <w:sz w:val="20"/>
        </w:rPr>
        <w:t>Program.cs</w:t>
      </w:r>
      <w:r>
        <w:rPr>
          <w:rFonts w:ascii="Calibri" w:hAnsi="Calibri" w:cs="Calibri"/>
          <w:sz w:val="22"/>
        </w:rPr>
        <w:t xml:space="preserve"> never uses it — that package is exactly the portable tool (Bing/Google Custom Search wrapped as a </w:t>
      </w:r>
      <w:r>
        <w:rPr>
          <w:rFonts w:ascii="Consolas" w:hAnsi="Consolas" w:cs="Calibri"/>
          <w:sz w:val="20"/>
        </w:rPr>
        <w:t>KernelFunction</w:t>
      </w:r>
      <w:r>
        <w:rPr>
          <w:rFonts w:ascii="Calibri" w:hAnsi="Calibri" w:cs="Calibri"/>
          <w:sz w:val="22"/>
        </w:rPr>
        <w:t>) that would let this same lesson be taught in a vendor-neutral way. Right now it's a dead reference sitting next to the very feature it could replace.</w:t>
      </w:r>
    </w:p>
    <w:p w14:paraId="457CAEDB" w14:textId="77777777" w:rsidR="00352C3E" w:rsidRDefault="00352C3E" w:rsidP="00352C3E">
      <w:pPr>
        <w:rPr>
          <w:rFonts w:ascii="Calibri" w:hAnsi="Calibri" w:cs="Calibri"/>
          <w:sz w:val="22"/>
        </w:rPr>
      </w:pPr>
    </w:p>
    <w:p w14:paraId="31D41C2E" w14:textId="3149EEAC" w:rsidR="00352C3E" w:rsidRDefault="00352C3E" w:rsidP="00352C3E">
      <w:pPr>
        <w:pStyle w:val="Heading2"/>
      </w:pPr>
      <w:r>
        <w:t>Gemini Coupling &amp; Migration to OpenAI/Other LLMs</w:t>
      </w:r>
    </w:p>
    <w:p w14:paraId="0C5B8E92" w14:textId="0DD80566" w:rsidR="00352C3E" w:rsidRDefault="00352C3E" w:rsidP="00352C3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This is a </w:t>
      </w:r>
      <w:r>
        <w:rPr>
          <w:rFonts w:ascii="Calibri" w:hAnsi="Calibri" w:cs="Calibri"/>
          <w:b/>
          <w:sz w:val="22"/>
        </w:rPr>
        <w:t>hard</w:t>
      </w:r>
      <w:r>
        <w:rPr>
          <w:rFonts w:ascii="Calibri" w:hAnsi="Calibri" w:cs="Calibri"/>
          <w:sz w:val="22"/>
        </w:rPr>
        <w:t xml:space="preserve"> migration, not a trivial one, and should be called out explicitly in the video:</w:t>
      </w:r>
    </w:p>
    <w:p w14:paraId="304014BF" w14:textId="28E25CAE" w:rsidR="00352C3E" w:rsidRDefault="00352C3E" w:rsidP="00352C3E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Gemini's </w:t>
      </w:r>
      <w:r>
        <w:rPr>
          <w:rFonts w:ascii="Consolas" w:hAnsi="Consolas" w:cs="Calibri"/>
          <w:sz w:val="20"/>
        </w:rPr>
        <w:t>googleSearch</w:t>
      </w:r>
      <w:r>
        <w:rPr>
          <w:rFonts w:ascii="Calibri" w:hAnsi="Calibri" w:cs="Calibri"/>
          <w:sz w:val="22"/>
        </w:rPr>
        <w:t xml:space="preserve"> grounding tool has no 1:1 equivalent in the plain OpenAI Chat Completions API. Options when migrating:</w:t>
      </w:r>
    </w:p>
    <w:p w14:paraId="1ADEDB35" w14:textId="7C73B2B2" w:rsidR="00352C3E" w:rsidRDefault="00352C3E" w:rsidP="00352C3E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Use OpenAI's Responses API </w:t>
      </w:r>
      <w:r>
        <w:rPr>
          <w:rFonts w:ascii="Consolas" w:hAnsi="Consolas" w:cs="Calibri"/>
          <w:sz w:val="20"/>
        </w:rPr>
        <w:t>web_search</w:t>
      </w:r>
      <w:r>
        <w:rPr>
          <w:rFonts w:ascii="Calibri" w:hAnsi="Calibri" w:cs="Calibri"/>
          <w:sz w:val="22"/>
        </w:rPr>
        <w:t xml:space="preserve"> tool (different API surface than Chat Completions, so it's a bigger rewrite, not a line swap).</w:t>
      </w:r>
    </w:p>
    <w:p w14:paraId="4991894B" w14:textId="60FD92A8" w:rsidR="00352C3E" w:rsidRDefault="00352C3E" w:rsidP="00352C3E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Use Azure OpenAI "on your data" / Bing grounding.</w:t>
      </w:r>
    </w:p>
    <w:p w14:paraId="6ADD3D7A" w14:textId="6C8E2735" w:rsidR="00352C3E" w:rsidRDefault="00352C3E" w:rsidP="00352C3E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Recommended for this series</w:t>
      </w:r>
      <w:r>
        <w:rPr>
          <w:rFonts w:ascii="Calibri" w:hAnsi="Calibri" w:cs="Calibri"/>
          <w:sz w:val="22"/>
        </w:rPr>
        <w:t xml:space="preserve">: drop the raw </w:t>
      </w:r>
      <w:r>
        <w:rPr>
          <w:rFonts w:ascii="Consolas" w:hAnsi="Consolas" w:cs="Calibri"/>
          <w:sz w:val="20"/>
        </w:rPr>
        <w:t>ExtensionData</w:t>
      </w:r>
      <w:r>
        <w:rPr>
          <w:rFonts w:ascii="Calibri" w:hAnsi="Calibri" w:cs="Calibri"/>
          <w:sz w:val="22"/>
        </w:rPr>
        <w:t xml:space="preserve"> hack entirely and use the already-referenced </w:t>
      </w:r>
      <w:r>
        <w:rPr>
          <w:rFonts w:ascii="Consolas" w:hAnsi="Consolas" w:cs="Calibri"/>
          <w:sz w:val="20"/>
        </w:rPr>
        <w:t>Microsoft.SemanticKernel.Plugins.Web</w:t>
      </w:r>
      <w:r>
        <w:rPr>
          <w:rFonts w:ascii="Calibri" w:hAnsi="Calibri" w:cs="Calibri"/>
          <w:sz w:val="22"/>
        </w:rPr>
        <w:t xml:space="preserve"> package to expose a Bing or Google Custom Search call as a normal </w:t>
      </w:r>
      <w:r>
        <w:rPr>
          <w:rFonts w:ascii="Consolas" w:hAnsi="Consolas" w:cs="Calibri"/>
          <w:sz w:val="20"/>
        </w:rPr>
        <w:t>[KernelFunction]</w:t>
      </w:r>
      <w:r>
        <w:rPr>
          <w:rFonts w:ascii="Calibri" w:hAnsi="Calibri" w:cs="Calibri"/>
          <w:sz w:val="22"/>
        </w:rPr>
        <w:t xml:space="preserve">, then drive it with </w:t>
      </w:r>
      <w:r>
        <w:rPr>
          <w:rFonts w:ascii="Consolas" w:hAnsi="Consolas" w:cs="Calibri"/>
          <w:sz w:val="20"/>
        </w:rPr>
        <w:t>FunctionChoiceBehavior.Auto()</w:t>
      </w:r>
      <w:r>
        <w:rPr>
          <w:rFonts w:ascii="Calibri" w:hAnsi="Calibri" w:cs="Calibri"/>
          <w:sz w:val="22"/>
        </w:rPr>
        <w:t xml:space="preserve"> like every other tool-calling episode. This makes the lesson </w:t>
      </w:r>
      <w:r>
        <w:rPr>
          <w:rFonts w:ascii="Calibri" w:hAnsi="Calibri" w:cs="Calibri"/>
          <w:b/>
          <w:sz w:val="22"/>
        </w:rPr>
        <w:t>provider-agnostic</w:t>
      </w:r>
      <w:r>
        <w:rPr>
          <w:rFonts w:ascii="Calibri" w:hAnsi="Calibri" w:cs="Calibri"/>
          <w:sz w:val="22"/>
        </w:rPr>
        <w:t xml:space="preserve"> and consistent with the rest of the series, instead of being a one-off Gemini special case.</w:t>
      </w:r>
    </w:p>
    <w:p w14:paraId="52315572" w14:textId="77777777" w:rsidR="00352C3E" w:rsidRDefault="00352C3E" w:rsidP="00352C3E">
      <w:pPr>
        <w:rPr>
          <w:rFonts w:ascii="Calibri" w:hAnsi="Calibri" w:cs="Calibri"/>
          <w:sz w:val="22"/>
        </w:rPr>
      </w:pPr>
    </w:p>
    <w:p w14:paraId="460CBDDD" w14:textId="71DC99B4" w:rsidR="00352C3E" w:rsidRDefault="00352C3E" w:rsidP="00352C3E">
      <w:pPr>
        <w:pStyle w:val="Heading2"/>
      </w:pPr>
      <w:r>
        <w:t>Verdict</w:t>
      </w:r>
    </w:p>
    <w:p w14:paraId="50A8BBE6" w14:textId="7471102B" w:rsidR="00352C3E" w:rsidRDefault="00352C3E" w:rsidP="00352C3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Good concept, but currently the weakest episode from a "teach transferable skills" standpoint. Recommend reworking it around the unused </w:t>
      </w:r>
      <w:r>
        <w:rPr>
          <w:rFonts w:ascii="Consolas" w:hAnsi="Consolas" w:cs="Calibri"/>
          <w:sz w:val="20"/>
        </w:rPr>
        <w:t>Plugins.Web</w:t>
      </w:r>
      <w:r>
        <w:rPr>
          <w:rFonts w:ascii="Calibri" w:hAnsi="Calibri" w:cs="Calibri"/>
          <w:sz w:val="22"/>
        </w:rPr>
        <w:t xml:space="preserve"> package before recording — it turns a Gemini-only trick into a durable, portable pattern.</w:t>
      </w:r>
    </w:p>
    <w:p w14:paraId="2661F263" w14:textId="77777777" w:rsidR="00352C3E" w:rsidRPr="00352C3E" w:rsidRDefault="00352C3E" w:rsidP="00352C3E">
      <w:pPr>
        <w:rPr>
          <w:rFonts w:ascii="Calibri" w:hAnsi="Calibri" w:cs="Calibri"/>
          <w:sz w:val="22"/>
        </w:rPr>
      </w:pPr>
    </w:p>
    <w:sectPr w:rsidR="00352C3E" w:rsidRPr="00352C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8348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4D5B4E81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627587457">
    <w:abstractNumId w:val="0"/>
  </w:num>
  <w:num w:numId="2" w16cid:durableId="351224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C3E"/>
    <w:rsid w:val="00100BD2"/>
    <w:rsid w:val="00352C3E"/>
    <w:rsid w:val="003E13C8"/>
    <w:rsid w:val="00891DA8"/>
    <w:rsid w:val="00F3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4F27F"/>
  <w15:chartTrackingRefBased/>
  <w15:docId w15:val="{BD3B560A-A823-44C9-B7B2-BB720A57B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2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2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C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1</cp:revision>
  <dcterms:created xsi:type="dcterms:W3CDTF">2026-07-28T22:15:00Z</dcterms:created>
  <dcterms:modified xsi:type="dcterms:W3CDTF">2026-07-28T22:15:00Z</dcterms:modified>
</cp:coreProperties>
</file>