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《智能体设计方案书》</w:t>
      </w:r>
    </w:p>
    <w:p>
      <w:pPr>
        <w:pStyle w:val="Heading2"/>
      </w:pPr>
      <w:r>
        <w:t>作品名称:律衡 · 全民法律知识普惠智能体</w:t>
      </w:r>
    </w:p>
    <w:p>
      <w:pPr>
        <w:ind w:left="240"/>
      </w:pPr>
      <w:r>
        <w:rPr>
          <w:i/>
        </w:rPr>
        <w:t>基于开源智能体搭建平台 FastGPT 构建</w:t>
      </w:r>
    </w:p>
    <w:p>
      <w:pPr>
        <w:ind w:left="240"/>
      </w:pPr>
      <w:r>
        <w:rPr>
          <w:i/>
        </w:rPr>
        <w:t>参赛方向:社会公益 —— 教育普惠 / 法律知识普惠</w:t>
      </w:r>
    </w:p>
    <w:p>
      <w:pPr>
        <w:ind w:left="240"/>
      </w:pPr>
      <w:r>
        <w:rPr>
          <w:i/>
        </w:rPr>
        <w:t>学校/学院:西南民族大学 法学院</w:t>
      </w:r>
    </w:p>
    <w:p>
      <w:pPr>
        <w:ind w:left="240"/>
      </w:pPr>
      <w:r>
        <w:rPr>
          <w:i/>
        </w:rPr>
        <w:t>团队名称:舞猴(成员姓名待补)</w:t>
      </w:r>
    </w:p>
    <w:p>
      <w:pPr>
        <w:ind w:left="240"/>
      </w:pPr>
      <w:r>
        <w:rPr>
          <w:i/>
        </w:rPr>
        <w:t>指导老师:【填写】　　日期:2026 年 8 月</w:t>
      </w:r>
    </w:p>
    <w:p>
      <w:pPr>
        <w:pStyle w:val="Heading2"/>
      </w:pPr>
      <w:r>
        <w:t>一、场景描述</w:t>
      </w:r>
    </w:p>
    <w:p>
      <w:pPr>
        <w:pStyle w:val="Heading3"/>
      </w:pPr>
      <w:r>
        <w:t>1.1 痛点</w:t>
      </w:r>
    </w:p>
    <w:p>
      <w:r>
        <w:t>据统计,我国公众法律素养整体偏低,大量日常纠纷(劳动报酬、租房退押、消费维权、民间借贷、交通事故、婚姻财产等)本可通过合法途径低成本解决,但多数人因</w:t>
      </w:r>
      <w:r>
        <w:rPr>
          <w:b/>
        </w:rPr>
        <w:t>不了解法律依据、不清楚维权流程、不知道找谁求助</w:t>
      </w:r>
      <w:r>
        <w:t>而选择隐忍或走极端。专业法律咨询门槛高(一次数百到数千元),普通公众难以负担;搜索引擎给出的回答鱼龙混杂,难以判断是否可靠。</w:t>
      </w:r>
    </w:p>
    <w:p>
      <w:r>
        <w:t>与此同时,高校承担着提升大学生法律素养的社会责任,公众对「听得懂、用得上」的免费法律知识有真实需求。</w:t>
      </w:r>
    </w:p>
    <w:p>
      <w:pPr>
        <w:pStyle w:val="Heading3"/>
      </w:pPr>
      <w:r>
        <w:t>1.2 目标用户</w:t>
      </w:r>
    </w:p>
    <w:p>
      <w:pPr>
        <w:pStyle w:val="ListBullet"/>
      </w:pPr>
      <w:r>
        <w:rPr>
          <w:b/>
        </w:rPr>
        <w:t>在校大学生</w:t>
      </w:r>
      <w:r>
        <w:t>(第一用户群体):兼职劳动、租房、校园贷陷阱、实习合同等高频场景;</w:t>
      </w:r>
    </w:p>
    <w:p>
      <w:pPr>
        <w:pStyle w:val="ListBullet"/>
      </w:pPr>
      <w:r>
        <w:rPr>
          <w:b/>
        </w:rPr>
        <w:t>普通社会公众</w:t>
      </w:r>
      <w:r>
        <w:t>:劳动、消费、房产、婚姻家庭、交通事故等常见纠纷当事人;</w:t>
      </w:r>
    </w:p>
    <w:p>
      <w:pPr>
        <w:pStyle w:val="ListBullet"/>
      </w:pPr>
      <w:r>
        <w:rPr>
          <w:b/>
        </w:rPr>
        <w:t>普法工作者 / 社区工作者</w:t>
      </w:r>
      <w:r>
        <w:t>:作为日常普法答疑的辅助工具。</w:t>
      </w:r>
    </w:p>
    <w:p>
      <w:pPr>
        <w:pStyle w:val="Heading3"/>
      </w:pPr>
      <w:r>
        <w:t>1.3 公益定位</w:t>
      </w:r>
    </w:p>
    <w:p>
      <w:pPr>
        <w:pStyle w:val="ListBullet"/>
      </w:pPr>
      <w:r>
        <w:t>面向公众</w:t>
      </w:r>
      <w:r>
        <w:rPr>
          <w:b/>
        </w:rPr>
        <w:t>免费开放</w:t>
      </w:r>
      <w:r>
        <w:t>法律知识咨询,降低获取门槛;</w:t>
      </w:r>
    </w:p>
    <w:p>
      <w:pPr>
        <w:pStyle w:val="ListBullet"/>
      </w:pPr>
      <w:r>
        <w:t>回答坚持「</w:t>
      </w:r>
      <w:r>
        <w:rPr>
          <w:b/>
        </w:rPr>
        <w:t>大白话解释 + 法条引用 + 维权渠道指引</w:t>
      </w:r>
      <w:r>
        <w:t>」三位一体;</w:t>
      </w:r>
    </w:p>
    <w:p>
      <w:pPr>
        <w:pStyle w:val="ListBullet"/>
      </w:pPr>
      <w:r>
        <w:t>明确</w:t>
      </w:r>
      <w:r>
        <w:rPr>
          <w:b/>
        </w:rPr>
        <w:t>边界</w:t>
      </w:r>
      <w:r>
        <w:t xml:space="preserve">:本智能体仅提供普法信息,不替代执业律师意见,重大事项引导用户拨打 </w:t>
      </w:r>
      <w:r>
        <w:rPr>
          <w:b/>
        </w:rPr>
        <w:t>12348 法律援助热线</w:t>
      </w:r>
      <w:r>
        <w:t>或联系属地法律援助机构;</w:t>
      </w:r>
    </w:p>
    <w:p>
      <w:pPr>
        <w:pStyle w:val="ListBullet"/>
      </w:pPr>
      <w:r>
        <w:t>体现「教育普惠」的公益维度,对接 12348 / 12315 / 劳动仲裁等公共维权资源。</w:t>
      </w:r>
    </w:p>
    <w:p>
      <w:pPr>
        <w:pStyle w:val="Heading2"/>
      </w:pPr>
      <w:r>
        <w:t>二、智能体拟实现的核心功能</w:t>
      </w:r>
    </w:p>
    <w:p>
      <w:pPr>
        <w:pStyle w:val="Heading3"/>
      </w:pPr>
      <w:r>
        <w:t>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对应 FastGPT 能力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场景化法律问答</w:t>
            </w:r>
          </w:p>
        </w:tc>
        <w:tc>
          <w:tcPr>
            <w:tcW w:type="dxa" w:w="2160"/>
          </w:tcPr>
          <w:p>
            <w:r>
              <w:t>按生活场景提问,大白话回答 + 法条引用</w:t>
            </w:r>
          </w:p>
        </w:tc>
        <w:tc>
          <w:tcPr>
            <w:tcW w:type="dxa" w:w="2160"/>
          </w:tcPr>
          <w:p>
            <w:r>
              <w:t>知识库检索 + AI 对话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领域识别与分流</w:t>
            </w:r>
          </w:p>
        </w:tc>
        <w:tc>
          <w:tcPr>
            <w:tcW w:type="dxa" w:w="2160"/>
          </w:tcPr>
          <w:p>
            <w:r>
              <w:t>自动识别劳动/消费/婚姻/房产/借贷/交通等领域</w:t>
            </w:r>
          </w:p>
        </w:tc>
        <w:tc>
          <w:tcPr>
            <w:tcW w:type="dxa" w:w="2160"/>
          </w:tcPr>
          <w:p>
            <w:r>
              <w:t>问题分类节点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案情要素引导</w:t>
            </w:r>
          </w:p>
        </w:tc>
        <w:tc>
          <w:tcPr>
            <w:tcW w:type="dxa" w:w="2160"/>
          </w:tcPr>
          <w:p>
            <w:r>
              <w:t>多轮追问收集关键事实(如合同是否签订、入职时长)</w:t>
            </w:r>
          </w:p>
        </w:tc>
        <w:tc>
          <w:tcPr>
            <w:tcW w:type="dxa" w:w="2160"/>
          </w:tcPr>
          <w:p>
            <w:r>
              <w:t>对话变量 + 记忆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维权路径指引</w:t>
            </w:r>
          </w:p>
        </w:tc>
        <w:tc>
          <w:tcPr>
            <w:tcW w:type="dxa" w:w="2160"/>
          </w:tcPr>
          <w:p>
            <w:r>
              <w:t>按领域给出仲裁/投诉/诉讼的具体渠道与材料清单</w:t>
            </w:r>
          </w:p>
        </w:tc>
        <w:tc>
          <w:tcPr>
            <w:tcW w:type="dxa" w:w="2160"/>
          </w:tcPr>
          <w:p>
            <w:r>
              <w:t>条件分支 + 知识库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文书模板速查</w:t>
            </w:r>
          </w:p>
        </w:tc>
        <w:tc>
          <w:tcPr>
            <w:tcW w:type="dxa" w:w="2160"/>
          </w:tcPr>
          <w:p>
            <w:r>
              <w:t>借条、劳动合同要点、租房合同注意事项等模板</w:t>
            </w:r>
          </w:p>
        </w:tc>
        <w:tc>
          <w:tcPr>
            <w:tcW w:type="dxa" w:w="2160"/>
          </w:tcPr>
          <w:p>
            <w:r>
              <w:t>知识库文档</w:t>
            </w:r>
          </w:p>
        </w:tc>
      </w:tr>
      <w:tr>
        <w:tc>
          <w:tcPr>
            <w:tcW w:type="dxa" w:w="2160"/>
          </w:tcPr>
          <w:p>
            <w:r>
              <w:t>F6</w:t>
            </w:r>
          </w:p>
        </w:tc>
        <w:tc>
          <w:tcPr>
            <w:tcW w:type="dxa" w:w="2160"/>
          </w:tcPr>
          <w:p>
            <w:r>
              <w:t>普法案例库问答</w:t>
            </w:r>
          </w:p>
        </w:tc>
        <w:tc>
          <w:tcPr>
            <w:tcW w:type="dxa" w:w="2160"/>
          </w:tcPr>
          <w:p>
            <w:r>
              <w:t>基于公开指导案例的问答式普法</w:t>
            </w:r>
          </w:p>
        </w:tc>
        <w:tc>
          <w:tcPr>
            <w:tcW w:type="dxa" w:w="2160"/>
          </w:tcPr>
          <w:p>
            <w:r>
              <w:t>知识库检索</w:t>
            </w:r>
          </w:p>
        </w:tc>
      </w:tr>
      <w:tr>
        <w:tc>
          <w:tcPr>
            <w:tcW w:type="dxa" w:w="2160"/>
          </w:tcPr>
          <w:p>
            <w:r>
              <w:t>F7</w:t>
            </w:r>
          </w:p>
        </w:tc>
        <w:tc>
          <w:tcPr>
            <w:tcW w:type="dxa" w:w="2160"/>
          </w:tcPr>
          <w:p>
            <w:r>
              <w:t>免责与转介</w:t>
            </w:r>
          </w:p>
        </w:tc>
        <w:tc>
          <w:tcPr>
            <w:tcW w:type="dxa" w:w="2160"/>
          </w:tcPr>
          <w:p>
            <w:r>
              <w:t>自动附带免责声明,重大事项转介法律援助</w:t>
            </w:r>
          </w:p>
        </w:tc>
        <w:tc>
          <w:tcPr>
            <w:tcW w:type="dxa" w:w="2160"/>
          </w:tcPr>
          <w:p>
            <w:r>
              <w:t>知识库 + 固定回复</w:t>
            </w:r>
          </w:p>
        </w:tc>
      </w:tr>
    </w:tbl>
    <w:p>
      <w:pPr>
        <w:pStyle w:val="Heading3"/>
      </w:pPr>
      <w:r>
        <w:t>核心工作流设计(以「劳动纠纷」为例)</w:t>
      </w:r>
    </w:p>
    <w:p>
      <w:pPr>
        <w:ind w:left="200"/>
      </w:pPr>
      <w:r>
        <w:rPr>
          <w:rFonts w:ascii="Consolas" w:hAnsi="Consolas"/>
          <w:sz w:val="18"/>
        </w:rPr>
        <w:t>用户提问:「公司拖欠我两个月工资怎么办?」</w:t>
        <w:br/>
        <w:t xml:space="preserve">  │</w:t>
        <w:br/>
        <w:t xml:space="preserve">  ▼ 问题分类节点:识别 → 劳动纠纷</w:t>
        <w:br/>
        <w:t xml:space="preserve">  │</w:t>
        <w:br/>
        <w:t xml:space="preserve">  ▼ 案情要素引导(对话变量):是否签订劳动合同? 在职还是已离职?</w:t>
        <w:br/>
        <w:t xml:space="preserve">  │</w:t>
        <w:br/>
        <w:t xml:space="preserve">  ▼ 知识库检索:劳动合同法 §30、§85;劳动法 §50;劳动争议调解仲裁法相关条文</w:t>
        <w:br/>
        <w:t xml:space="preserve">  │</w:t>
        <w:br/>
        <w:t xml:space="preserve">  ▼ AI 对话节点:大白话解释拖欠工资的法律性质与责任</w:t>
        <w:br/>
        <w:t xml:space="preserve">  │</w:t>
        <w:br/>
        <w:t xml:space="preserve">  ▼ 条件分支:已离职 → 指引劳动仲裁(时效 1 年、需材料清单)</w:t>
        <w:br/>
        <w:t xml:space="preserve">  │            在职 → 指引劳动监察投诉(12333)+ 保留证据建议</w:t>
        <w:br/>
        <w:t xml:space="preserve">  │</w:t>
        <w:br/>
        <w:t xml:space="preserve">  ▼ 汇总输出:法条引用 + 分步骤维权指引 + 免责声明 + 12348 转介</w:t>
      </w:r>
    </w:p>
    <w:p>
      <w:r>
        <w:t>其余领域(消费维权、婚姻家庭、房产租赁、民间借贷、交通事故)复用同一条「分类 → 要素引导 → 检索 → 解答 → 分支指引」主干,通过</w:t>
      </w:r>
      <w:r>
        <w:rPr>
          <w:b/>
        </w:rPr>
        <w:t>领域知识库分库 + 分类条件</w:t>
      </w:r>
      <w:r>
        <w:t>差异化配置。</w:t>
      </w:r>
    </w:p>
    <w:p>
      <w:pPr>
        <w:pStyle w:val="Heading2"/>
      </w:pPr>
      <w:r>
        <w:t>三、所使用的知识文档与数据来源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民法典及常用单行法全文</w:t>
            </w:r>
          </w:p>
        </w:tc>
        <w:tc>
          <w:tcPr>
            <w:tcW w:type="dxa" w:w="2880"/>
          </w:tcPr>
          <w:p>
            <w:r>
              <w:t>国家法律法规数据库(npc.gov.cn)等公开渠道</w:t>
            </w:r>
          </w:p>
        </w:tc>
        <w:tc>
          <w:tcPr>
            <w:tcW w:type="dxa" w:w="2880"/>
          </w:tcPr>
          <w:p>
            <w:r>
              <w:t>民法典、劳动法、劳动合同法、消费者权益保护法、劳动争议调解仲裁法、道路交通安全法、婚姻家庭编司法解释等</w:t>
            </w:r>
          </w:p>
        </w:tc>
      </w:tr>
      <w:tr>
        <w:tc>
          <w:tcPr>
            <w:tcW w:type="dxa" w:w="2880"/>
          </w:tcPr>
          <w:p>
            <w:r>
              <w:t>最高法指导案例 / 公报案例</w:t>
            </w:r>
          </w:p>
        </w:tc>
        <w:tc>
          <w:tcPr>
            <w:tcW w:type="dxa" w:w="2880"/>
          </w:tcPr>
          <w:p>
            <w:r>
              <w:t>最高法官网、裁判文书公开信息</w:t>
            </w:r>
          </w:p>
        </w:tc>
        <w:tc>
          <w:tcPr>
            <w:tcW w:type="dxa" w:w="2880"/>
          </w:tcPr>
          <w:p>
            <w:r>
              <w:t>脱敏、节选,用于普法案例问答</w:t>
            </w:r>
          </w:p>
        </w:tc>
      </w:tr>
      <w:tr>
        <w:tc>
          <w:tcPr>
            <w:tcW w:type="dxa" w:w="2880"/>
          </w:tcPr>
          <w:p>
            <w:r>
              <w:t>高频 FAQ 知识库</w:t>
            </w:r>
          </w:p>
        </w:tc>
        <w:tc>
          <w:tcPr>
            <w:tcW w:type="dxa" w:w="2880"/>
          </w:tcPr>
          <w:p>
            <w:r>
              <w:t>自建(基于 12348 常见咨询问题与律所公开普法资料整理)</w:t>
            </w:r>
          </w:p>
        </w:tc>
        <w:tc>
          <w:tcPr>
            <w:tcW w:type="dxa" w:w="2880"/>
          </w:tcPr>
          <w:p>
            <w:r>
              <w:t>覆盖 30+ 个高频生活场景,每条含「结论 / 依据 / 操作步骤 / 注意事项」</w:t>
            </w:r>
          </w:p>
        </w:tc>
      </w:tr>
      <w:tr>
        <w:tc>
          <w:tcPr>
            <w:tcW w:type="dxa" w:w="2880"/>
          </w:tcPr>
          <w:p>
            <w:r>
              <w:t>维权渠道信息</w:t>
            </w:r>
          </w:p>
        </w:tc>
        <w:tc>
          <w:tcPr>
            <w:tcW w:type="dxa" w:w="2880"/>
          </w:tcPr>
          <w:p>
            <w:r>
              <w:t>12348、12315、12333、劳动仲裁机构等官方公开信息</w:t>
            </w:r>
          </w:p>
        </w:tc>
        <w:tc>
          <w:tcPr>
            <w:tcW w:type="dxa" w:w="2880"/>
          </w:tcPr>
          <w:p>
            <w:r>
              <w:t>全国热线、属地机构、材料清单</w:t>
            </w:r>
          </w:p>
        </w:tc>
      </w:tr>
      <w:tr>
        <w:tc>
          <w:tcPr>
            <w:tcW w:type="dxa" w:w="2880"/>
          </w:tcPr>
          <w:p>
            <w:r>
              <w:t>法律文书模板</w:t>
            </w:r>
          </w:p>
        </w:tc>
        <w:tc>
          <w:tcPr>
            <w:tcW w:type="dxa" w:w="2880"/>
          </w:tcPr>
          <w:p>
            <w:r>
              <w:t>自建整理(借条、租房合同要点、劳动合同注意事项等)</w:t>
            </w:r>
          </w:p>
        </w:tc>
        <w:tc>
          <w:tcPr>
            <w:tcW w:type="dxa" w:w="2880"/>
          </w:tcPr>
          <w:p>
            <w:r>
              <w:t>仅做提示模板,注明「非合同、签约前请咨询律师」</w:t>
            </w:r>
          </w:p>
        </w:tc>
      </w:tr>
      <w:tr>
        <w:tc>
          <w:tcPr>
            <w:tcW w:type="dxa" w:w="2880"/>
          </w:tcPr>
          <w:p>
            <w:r>
              <w:t>(可选)LexPilot 题库沉淀</w:t>
            </w:r>
          </w:p>
        </w:tc>
        <w:tc>
          <w:tcPr>
            <w:tcW w:type="dxa" w:w="2880"/>
          </w:tcPr>
          <w:p>
            <w:r>
              <w:t>本项目团队此前开发的学习工具中的民/刑知识点</w:t>
            </w:r>
          </w:p>
        </w:tc>
        <w:tc>
          <w:tcPr>
            <w:tcW w:type="dxa" w:w="2880"/>
          </w:tcPr>
          <w:p>
            <w:r>
              <w:t>经审核后用于普法常识问答</w:t>
            </w:r>
          </w:p>
        </w:tc>
      </w:tr>
    </w:tbl>
    <w:p>
      <w:pPr>
        <w:ind w:left="240"/>
      </w:pPr>
      <w:r>
        <w:rPr>
          <w:i/>
        </w:rPr>
        <w:t>版权与合规:全部采用公开法律文本与公开案例,文档标注来源;不采集用户个人信息,对话数据本地化部署不落库留存,符合《个人信息保护法》与公益服务合规要求。</w:t>
      </w:r>
    </w:p>
    <w:p>
      <w:pPr>
        <w:pStyle w:val="Heading2"/>
      </w:pPr>
      <w:r>
        <w:t>四、基于开源智能体搭建平台的技术可行性说明</w:t>
      </w:r>
    </w:p>
    <w:p>
      <w:pPr>
        <w:pStyle w:val="Heading3"/>
      </w:pPr>
      <w:r>
        <w:t>4.1 平台选型:FastGPT(开源)</w:t>
      </w:r>
    </w:p>
    <w:p>
      <w:pPr>
        <w:pStyle w:val="ListBullet"/>
      </w:pPr>
      <w:r>
        <w:rPr>
          <w:b/>
        </w:rPr>
        <w:t>开源可私有化部署</w:t>
      </w:r>
      <w:r>
        <w:t>:FastGPT 为开源项目,学校已提供平台环境,数据自主可控、无需额外采购,符合「开源共享」宗旨;</w:t>
      </w:r>
    </w:p>
    <w:p>
      <w:pPr>
        <w:pStyle w:val="ListBullet"/>
      </w:pPr>
      <w:r>
        <w:rPr>
          <w:b/>
        </w:rPr>
        <w:t>零模型门槛</w:t>
      </w:r>
      <w:r>
        <w:t>:对接国产大模型(如 DeepSeek、智谱 GLM、通义千问等),API 成本极低,公益场景可长期免费运行;</w:t>
      </w:r>
    </w:p>
    <w:p>
      <w:pPr>
        <w:pStyle w:val="ListBullet"/>
      </w:pPr>
      <w:r>
        <w:rPr>
          <w:b/>
        </w:rPr>
        <w:t>前端零开发</w:t>
      </w:r>
      <w:r>
        <w:t>:平台自带对话界面与一键分享链接,支持嵌入网页,普通公众无需安装即可使用,天然契合公益的低门槛诉求。</w:t>
      </w:r>
    </w:p>
    <w:p>
      <w:pPr>
        <w:pStyle w:val="Heading3"/>
      </w:pPr>
      <w:r>
        <w:t>4.2 四大核心能力与比赛考核点一一对应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比赛考核点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FastGPT 对应能力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本项目落地方式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知识库构建</w:t>
            </w:r>
          </w:p>
        </w:tc>
        <w:tc>
          <w:tcPr>
            <w:tcW w:type="dxa" w:w="2880"/>
          </w:tcPr>
          <w:p>
            <w:r>
              <w:t>文档切分、Web 爬取、定时同步、混合检索、多库隔离</w:t>
            </w:r>
          </w:p>
        </w:tc>
        <w:tc>
          <w:tcPr>
            <w:tcW w:type="dxa" w:w="2880"/>
          </w:tcPr>
          <w:p>
            <w:r>
              <w:t>法条/案例/FAQ/渠道 4 个知识库分库管理,支持定期更新法条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工作流编排</w:t>
            </w:r>
          </w:p>
        </w:tc>
        <w:tc>
          <w:tcPr>
            <w:tcW w:type="dxa" w:w="2880"/>
          </w:tcPr>
          <w:p>
            <w:r>
              <w:t>问题分类、条件分支、对话变量、AI 对话、文本拼接、代码执行</w:t>
            </w:r>
          </w:p>
        </w:tc>
        <w:tc>
          <w:tcPr>
            <w:tcW w:type="dxa" w:w="2880"/>
          </w:tcPr>
          <w:p>
            <w:r>
              <w:t>「分类 → 要素引导 → 检索 → 解答 → 分支指引」主干工作流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工具集成</w:t>
            </w:r>
          </w:p>
        </w:tc>
        <w:tc>
          <w:tcPr>
            <w:tcW w:type="dxa" w:w="2880"/>
          </w:tcPr>
          <w:p>
            <w:r>
              <w:t>HTTP 请求、自定义插件、OpenAPI 工具</w:t>
            </w:r>
          </w:p>
        </w:tc>
        <w:tc>
          <w:tcPr>
            <w:tcW w:type="dxa" w:w="2880"/>
          </w:tcPr>
          <w:p>
            <w:r>
              <w:t>预留对接公开法律法规数据库接口;维权渠道信息查询工具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测试优化</w:t>
            </w:r>
          </w:p>
        </w:tc>
        <w:tc>
          <w:tcPr>
            <w:tcW w:type="dxa" w:w="2880"/>
          </w:tcPr>
          <w:p>
            <w:r>
              <w:t>测试集自动化评估、调试日志、数据集对比</w:t>
            </w:r>
          </w:p>
        </w:tc>
        <w:tc>
          <w:tcPr>
            <w:tcW w:type="dxa" w:w="2880"/>
          </w:tcPr>
          <w:p>
            <w:r>
              <w:t>建立 100+ 条真实场景测试集,按正确率迭代提示词与知识库切分</w:t>
            </w:r>
          </w:p>
        </w:tc>
      </w:tr>
    </w:tbl>
    <w:p>
      <w:pPr>
        <w:pStyle w:val="Heading3"/>
      </w:pPr>
      <w:r>
        <w:t>4.3 技术难点与解决方案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难点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t>法律回答严谨性</w:t>
            </w:r>
          </w:p>
        </w:tc>
        <w:tc>
          <w:tcPr>
            <w:tcW w:type="dxa" w:w="4320"/>
          </w:tcPr>
          <w:p>
            <w:r>
              <w:t>回答强制要求引用法条编号 + 附带免责声明;知识库分库避免跨领域混答;测试集覆盖高频场景把关</w:t>
            </w:r>
          </w:p>
        </w:tc>
      </w:tr>
      <w:tr>
        <w:tc>
          <w:tcPr>
            <w:tcW w:type="dxa" w:w="4320"/>
          </w:tcPr>
          <w:p>
            <w:r>
              <w:t>多轮案情收集</w:t>
            </w:r>
          </w:p>
        </w:tc>
        <w:tc>
          <w:tcPr>
            <w:tcW w:type="dxa" w:w="4320"/>
          </w:tcPr>
          <w:p>
            <w:r>
              <w:t>用对话变量 + 条件分支引导用户补充关键事实,避免「一次问到底」的机械感</w:t>
            </w:r>
          </w:p>
        </w:tc>
      </w:tr>
      <w:tr>
        <w:tc>
          <w:tcPr>
            <w:tcW w:type="dxa" w:w="4320"/>
          </w:tcPr>
          <w:p>
            <w:r>
              <w:t>知识库时效性</w:t>
            </w:r>
          </w:p>
        </w:tc>
        <w:tc>
          <w:tcPr>
            <w:tcW w:type="dxa" w:w="4320"/>
          </w:tcPr>
          <w:p>
            <w:r>
              <w:t>法条更新采用定期重新同步;标注「以最新法律法规为准」</w:t>
            </w:r>
          </w:p>
        </w:tc>
      </w:tr>
      <w:tr>
        <w:tc>
          <w:tcPr>
            <w:tcW w:type="dxa" w:w="4320"/>
          </w:tcPr>
          <w:p>
            <w:r>
              <w:t>公益场景并发与成本</w:t>
            </w:r>
          </w:p>
        </w:tc>
        <w:tc>
          <w:tcPr>
            <w:tcW w:type="dxa" w:w="4320"/>
          </w:tcPr>
          <w:p>
            <w:r>
              <w:t>私有化部署 + 国产低成本模型,单次咨询成本可忽略</w:t>
            </w:r>
          </w:p>
        </w:tc>
      </w:tr>
    </w:tbl>
    <w:p>
      <w:pPr>
        <w:pStyle w:val="Heading3"/>
      </w:pPr>
      <w:r>
        <w:t>4.4 可扩展性</w:t>
      </w:r>
    </w:p>
    <w:p>
      <w:pPr>
        <w:pStyle w:val="ListBullet"/>
      </w:pPr>
      <w:r>
        <w:t>新领域 = 新增知识库分库 + 分类节点扩展,不改主干;</w:t>
      </w:r>
    </w:p>
    <w:p>
      <w:pPr>
        <w:pStyle w:val="ListBullet"/>
      </w:pPr>
      <w:r>
        <w:t>可扩展对接学校法律援助中心、12348 属地资源形成转介闭环;</w:t>
      </w:r>
    </w:p>
    <w:p>
      <w:pPr>
        <w:pStyle w:val="ListBullet"/>
      </w:pPr>
      <w:r>
        <w:t>可嵌入高校官网/公众号/社区小程序,形成持续服务的公益入口。</w:t>
      </w:r>
    </w:p>
    <w:p>
      <w:pPr>
        <w:pStyle w:val="Heading2"/>
      </w:pPr>
      <w:r>
        <w:t>五、开发计划(学-练-赛 闭环)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场景与数据准备</w:t>
            </w:r>
          </w:p>
        </w:tc>
        <w:tc>
          <w:tcPr>
            <w:tcW w:type="dxa" w:w="2880"/>
          </w:tcPr>
          <w:p>
            <w:r>
              <w:t>确定 30+ 高频场景清单,整理法条/案例/FAQ 文档</w:t>
            </w:r>
          </w:p>
        </w:tc>
      </w:tr>
      <w:tr>
        <w:tc>
          <w:tcPr>
            <w:tcW w:type="dxa" w:w="2880"/>
          </w:tcPr>
          <w:p>
            <w:r>
              <w:t>第 2 周</w:t>
            </w:r>
          </w:p>
        </w:tc>
        <w:tc>
          <w:tcPr>
            <w:tcW w:type="dxa" w:w="2880"/>
          </w:tcPr>
          <w:p>
            <w:r>
              <w:t>知识库构建</w:t>
            </w:r>
          </w:p>
        </w:tc>
        <w:tc>
          <w:tcPr>
            <w:tcW w:type="dxa" w:w="2880"/>
          </w:tcPr>
          <w:p>
            <w:r>
              <w:t>完成 4 个知识库分库搭建与切分调优</w:t>
            </w:r>
          </w:p>
        </w:tc>
      </w:tr>
      <w:tr>
        <w:tc>
          <w:tcPr>
            <w:tcW w:type="dxa" w:w="2880"/>
          </w:tcPr>
          <w:p>
            <w:r>
              <w:t>第 3 周</w:t>
            </w:r>
          </w:p>
        </w:tc>
        <w:tc>
          <w:tcPr>
            <w:tcW w:type="dxa" w:w="2880"/>
          </w:tcPr>
          <w:p>
            <w:r>
              <w:t>工作流编排</w:t>
            </w:r>
          </w:p>
        </w:tc>
        <w:tc>
          <w:tcPr>
            <w:tcW w:type="dxa" w:w="2880"/>
          </w:tcPr>
          <w:p>
            <w:r>
              <w:t>完成主干工作流 + 5 个领域分支 + 维权指引</w:t>
            </w:r>
          </w:p>
        </w:tc>
      </w:tr>
      <w:tr>
        <w:tc>
          <w:tcPr>
            <w:tcW w:type="dxa" w:w="2880"/>
          </w:tcPr>
          <w:p>
            <w:r>
              <w:t>第 4 周</w:t>
            </w:r>
          </w:p>
        </w:tc>
        <w:tc>
          <w:tcPr>
            <w:tcW w:type="dxa" w:w="2880"/>
          </w:tcPr>
          <w:p>
            <w:r>
              <w:t>工具集成与测试</w:t>
            </w:r>
          </w:p>
        </w:tc>
        <w:tc>
          <w:tcPr>
            <w:tcW w:type="dxa" w:w="2880"/>
          </w:tcPr>
          <w:p>
            <w:r>
              <w:t>对接外部查询工具,建立测试集,迭代至 90%+ 通过率</w:t>
            </w:r>
          </w:p>
        </w:tc>
      </w:tr>
      <w:tr>
        <w:tc>
          <w:tcPr>
            <w:tcW w:type="dxa" w:w="2880"/>
          </w:tcPr>
          <w:p>
            <w:r>
              <w:t>决赛前</w:t>
            </w:r>
          </w:p>
        </w:tc>
        <w:tc>
          <w:tcPr>
            <w:tcW w:type="dxa" w:w="2880"/>
          </w:tcPr>
          <w:p>
            <w:r>
              <w:t>演示与开源贡献</w:t>
            </w:r>
          </w:p>
        </w:tc>
        <w:tc>
          <w:tcPr>
            <w:tcW w:type="dxa" w:w="2880"/>
          </w:tcPr>
          <w:p>
            <w:r>
              <w:t>录制演示视频、整理工作流/知识库模板开源共享</w:t>
            </w:r>
          </w:p>
        </w:tc>
      </w:tr>
    </w:tbl>
    <w:p>
      <w:pPr>
        <w:pStyle w:val="Heading2"/>
      </w:pPr>
      <w:r>
        <w:t>六、团队协作与开源贡献</w:t>
      </w:r>
    </w:p>
    <w:p>
      <w:pPr>
        <w:pStyle w:val="ListBullet"/>
      </w:pPr>
      <w:r>
        <w:rPr>
          <w:b/>
        </w:rPr>
        <w:t>分工</w:t>
      </w:r>
      <w:r>
        <w:t>:知识库采集组 / 工作流搭建组 / 测试优化组 / 演示与材料组;</w:t>
      </w:r>
    </w:p>
    <w:p>
      <w:pPr>
        <w:pStyle w:val="ListBullet"/>
      </w:pPr>
      <w:r>
        <w:rPr>
          <w:b/>
        </w:rPr>
        <w:t>开源贡献</w:t>
      </w:r>
      <w:r>
        <w:t>:本项目将把「普法 FAQ 知识库模板」「生活场景分类规则」「工作流配置文件」整理开源,回馈 FastGPT 社区,践行比赛「开源共享」理念;</w:t>
      </w:r>
    </w:p>
    <w:p>
      <w:pPr>
        <w:pStyle w:val="ListBullet"/>
      </w:pPr>
      <w:r>
        <w:rPr>
          <w:b/>
        </w:rPr>
        <w:t>成果可复用</w:t>
      </w:r>
      <w:r>
        <w:t>:任何高校/社区可直接导入本项目知识库与工作流,快速搭建本地版普法智能体。</w:t>
      </w:r>
    </w:p>
    <w:p>
      <w:pPr>
        <w:pStyle w:val="Heading2"/>
      </w:pPr>
      <w:r>
        <w:t>附:演示建议脚本</w:t>
      </w:r>
    </w:p>
    <w:p>
      <w:pPr>
        <w:ind w:left="360"/>
      </w:pPr>
      <w:r>
        <w:t>1. 入口:展示一键分享链接 / 嵌入网页的公开访问方式(体现低门槛);</w:t>
      </w:r>
    </w:p>
    <w:p>
      <w:pPr>
        <w:ind w:left="360"/>
      </w:pPr>
      <w:r>
        <w:t>2. 现场提问「公司拖欠工资怎么办」→ 展示领域识别、多轮引导、法条引用、维权渠道;</w:t>
      </w:r>
    </w:p>
    <w:p>
      <w:pPr>
        <w:ind w:left="360"/>
      </w:pPr>
      <w:r>
        <w:t>3. 提问「借钱给别人没写借条,还能要回来吗」→ 展示证据留存建议与模板;</w:t>
      </w:r>
    </w:p>
    <w:p>
      <w:pPr>
        <w:ind w:left="360"/>
      </w:pPr>
      <w:r>
        <w:t>4. 触发免责转介 → 展示边界意识与合规;</w:t>
      </w:r>
    </w:p>
    <w:p>
      <w:pPr>
        <w:ind w:left="360"/>
      </w:pPr>
      <w:r>
        <w:t>5. 后台展示知识库分库、工作流节点、测试集通过率(体现完整开发流程)。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