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qonto-rgpd-register</w:t>
      </w:r>
    </w:p>
    <w:p>
      <w:pPr>
        <w:jc w:val="center"/>
      </w:pPr>
      <w:r>
        <w:rPr>
          <w:b/>
          <w:color w:val="1D1B29"/>
          <w:sz w:val="26"/>
        </w:rPr>
        <w:t>Your bank account knows your data processors better than you do — the GDPR Article 30 register, drafted from the spending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 — zero write  ·  Pan-European (GDPR = the whole EU)  ·  Draft to validate (DPO/lawyer)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The record of processing activities (GDPR Article 30) is the document 90% of small businesses don't have — and the first thing a supervisory authority asks for. Yet the list of processors handling personal data is already written somewhere: in the debits. The skill reads it:</w:t>
      </w:r>
    </w:p>
    <w:p>
      <w:pPr>
        <w:pStyle w:val="ListBullet"/>
        <w:spacing w:after="60"/>
      </w:pPr>
      <w:r>
        <w:rPr>
          <w:sz w:val="21"/>
        </w:rPr>
        <w:t>1. Processor detection — the SaaS tools that process personal data (CRM, email marketing, analytics, AI, cloud, payroll, support), recognized by Claude's general knowledge from their first occurrence</w:t>
      </w:r>
    </w:p>
    <w:p>
      <w:pPr>
        <w:pStyle w:val="ListBullet"/>
        <w:spacing w:after="60"/>
      </w:pPr>
      <w:r>
        <w:rPr>
          <w:sz w:val="21"/>
        </w:rPr>
        <w:t>2. Classification by processing activity — purpose, typical data categories, data subjects, EU / non-EU headquarters and hosting — every attribute tagged "to validate"</w:t>
      </w:r>
    </w:p>
    <w:p>
      <w:pPr>
        <w:pStyle w:val="ListBullet"/>
        <w:spacing w:after="60"/>
      </w:pPr>
      <w:r>
        <w:rPr>
          <w:sz w:val="21"/>
        </w:rPr>
        <w:t>3. Draft Article 30 register in the CNIL card format — one card per activity, controller header filled from get_organization, visible placeholders for the human decisions</w:t>
      </w:r>
    </w:p>
    <w:p>
      <w:pPr>
        <w:pStyle w:val="ListBullet"/>
        <w:spacing w:after="60"/>
      </w:pPr>
      <w:r>
        <w:rPr>
          <w:sz w:val="21"/>
        </w:rPr>
        <w:t>4. Actionable flags — 🔴 non-EU transfer → standard contractual clauses to verify · 🟠 DPA to locate or sign · 🟡 tool gone from the debits for 6 months → retire it from the register?</w:t>
      </w:r>
    </w:p>
    <w:p>
      <w:r>
        <w:rPr>
          <w:b/>
          <w:i w:val="0"/>
          <w:sz w:val="21"/>
        </w:rPr>
        <w:t>Would someone use this on a Monday morning? It's the Monday a client's security questionnaire — or an authority letter — lands.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GDPR = the whole EU — a pan-European skill. France: CNIL card format and references; other Qonto countries: same register, local authority (BfDI/LfDI, AEPD, Garante, DSB, AP, APD/GBA, CNPD)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Spending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Ideally 12–24 months; thin account → register skeleton + missing parts named explicitly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A DPO or lawyer to validate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The skill produces a draft: qualification, legal bases and retention remain human decisions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✅ At the end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write)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Recognition from the first occurrence: Claude's general knowledge identifies the vendor (HQ, role, typical data) — no recurrence threshold, so yearly-billed tools are caught too</w:t>
      </w:r>
    </w:p>
    <w:p>
      <w:pPr>
        <w:pStyle w:val="ListBullet"/>
        <w:spacing w:after="60"/>
      </w:pPr>
      <w:r>
        <w:rPr>
          <w:sz w:val="21"/>
        </w:rPr>
        <w:t>Spellings normalized and merged (GOOGLE *WORKSPACE / GOOGLE IRELAND LTD / Google Cloud EMEA = one vendor); cross-checked with supplier invoices, cleaner than card labels</w:t>
      </w:r>
    </w:p>
    <w:p>
      <w:pPr>
        <w:pStyle w:val="ListBullet"/>
        <w:spacing w:after="60"/>
      </w:pPr>
      <w:r>
        <w:rPr>
          <w:sz w:val="21"/>
        </w:rPr>
        <w:t>Nothing silently disappears: out-of-scope spend (bank fees, travel, hardware) is listed in an "out of scope" appendix</w:t>
      </w:r>
    </w:p>
    <w:p>
      <w:pPr>
        <w:pStyle w:val="ListBullet"/>
        <w:spacing w:after="60"/>
      </w:pPr>
      <w:r>
        <w:rPr>
          <w:sz w:val="21"/>
        </w:rPr>
        <w:t>Ambiguity stated, never decided: genuinely ambiguous roles (payment providers are often independent controllers) → announced as such, "to validate"</w:t>
      </w:r>
    </w:p>
    <w:p>
      <w:pPr>
        <w:pStyle w:val="ListBullet"/>
        <w:spacing w:after="60"/>
      </w:pPr>
      <w:r>
        <w:rPr>
          <w:sz w:val="21"/>
        </w:rPr>
        <w:t>Vendor masked by a reseller, marketplace or app store → 🟡 flag, the skill asks instead of guessing</w:t>
      </w:r>
    </w:p>
    <w:p>
      <w:pPr>
        <w:pStyle w:val="ListBullet"/>
        <w:spacing w:after="60"/>
      </w:pPr>
      <w:r>
        <w:rPr>
          <w:sz w:val="21"/>
        </w:rPr>
        <w:t>Unknown vendor → "unidentified — check the invoice", never an invented HQ · pagination ≤ 50 · emitted_at (not settled_at) for the last-used date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four reads, no write, human validation at the end of the chain</w:t>
      </w:r>
    </w:p>
    <w:p>
      <w:r>
        <w:rPr>
          <w:b/>
          <w:i w:val="0"/>
          <w:sz w:val="21"/>
        </w:rPr>
        <w:t>🔒 Zero write, by design: four read tools, no write tool. Nothing moves on the account, no vendor is contacted. And the document produced is a draft register, not legal advice — qualification, legal bases and retention periods are validated by a DPO or lawyer. The skill repeats this on every output.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Recognized processor categories (illustrative examples, not from a real account)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Example tools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Typical data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Watch-out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CRM &amp; prospecting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HubSpot, Pipedrive, Salesforce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Identity, contact details, sales history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US headquarters → transfer mechanism to verify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Email &amp; marketing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Mailchimp, Brevo, Mailjet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Emails, open behavior, segments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Consent &amp; legal basis to document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Analytics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Google Analytics, Matomo, Plausible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Online identifiers, browsing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Non-EU vs self-hosted: very different regimes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AI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OpenAI, Anthropic, Mistral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Prompt content (sometimes customer data!)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Check the "no training on your data" option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Cloud &amp; hosting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AWS, Google Cloud, OVHcloud, Scaleway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Everything hosted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EU hosting region available? enabled?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Payroll &amp; HR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PayFit, Silae, Lucca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Employee data (sensitive: IDs, salaries)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HR card mandatory, specific legal retention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Customer support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Zendesk, Intercom, Crisp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Identity, conversations, metadata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Conversations = personal data, often forgotten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E-commerce &amp; payments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Shopify, Stripe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End customers, transactions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Controller/processor role ambiguous → to validate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🚩 The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Flag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>
              <w:rPr>
                <w:b/>
                <w:sz w:val="19"/>
              </w:rPr>
              <w:t>🔴 Non-EU transfer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Non-EU headquarters or hosting detected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Verify adequacy decision / standard contractual clauses / DPA annexes</w:t>
            </w:r>
          </w:p>
        </w:tc>
      </w:tr>
      <w:tr>
        <w:trPr>
          <w:cantSplit/>
        </w:trPr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🟠 DPA to check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Processor with no known signed DPA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Find the vendor's DPA page, sign or archive it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>
              <w:rPr>
                <w:b/>
                <w:sz w:val="19"/>
              </w:rPr>
              <w:t>🟡 Ghost tool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No debit for ≥ 6 months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Confirm it's gone → retire from the register + data deletion request</w:t>
            </w:r>
          </w:p>
        </w:tc>
      </w:tr>
      <w:tr>
        <w:trPr>
          <w:cantSplit/>
        </w:trPr>
        <w:tc>
          <w:tcPr>
            <w:tcW w:type="dxa" w:w="2154"/>
            <w:shd w:val="clear" w:fill="F1EDFF"/>
          </w:tcPr>
          <w:p>
            <w:r>
              <w:rPr>
                <w:b/>
                <w:sz w:val="19"/>
              </w:rPr>
              <w:t>🟡 Masked vendor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Reseller, marketplace or app store in the label</w:t>
            </w:r>
          </w:p>
        </w:tc>
        <w:tc>
          <w:tcPr>
            <w:tcW w:type="dxa" w:w="4195"/>
            <w:shd w:val="clear" w:fill="F1EDFF"/>
          </w:tcPr>
          <w:p>
            <w:r>
              <w:rPr>
                <w:sz w:val="19"/>
              </w:rPr>
              <w:t>The skill asks which product sits behind the charge — never a guess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summary, one card per activity, prioritized to-do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Print-ready register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controller header, Article 30 cards, processor annex, to-do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Disclaimer banner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"Draft register, not legal advice — validate with a DPO or lawyer"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On every output, no exception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(the document nobody has) → the spending scan → classification &amp; cards → the full Article 30 register generated from a bank statement → the DPA/transfer to-do. It runs live on a real production account. (Shooting script kept internal, outside the repository.)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Optional multi-MCP: scan Gmail/Drive for already-signed DPAs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Dynamic detection — activates when the MCP is present, otherwise the skill says so and continues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Register diff: rerun 6 months later → entrants / retirees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last-seen date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Ready-to-send "DPA request" and "data deletion request" templates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Still zero write — text to copy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DPIA appendix: activities likely to need an impact assessment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Always "to validate", never a definitive qualification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a definitive legal qualification (processor vs controller vs joint, legal basis, retention) — every card is tagged "to validate", undecided fields stay visible placeholders</w:t>
      </w:r>
    </w:p>
    <w:p>
      <w:pPr>
        <w:pStyle w:val="ListBullet"/>
        <w:spacing w:after="60"/>
      </w:pPr>
      <w:r>
        <w:rPr>
          <w:sz w:val="21"/>
        </w:rPr>
        <w:t>Never invents vendor facts: unknown HQ or hosting → stated as unknown, "check the invoice / the vendor's DPA page" as the next step</w:t>
      </w:r>
    </w:p>
    <w:p>
      <w:pPr>
        <w:pStyle w:val="ListBullet"/>
        <w:spacing w:after="60"/>
      </w:pPr>
      <w:r>
        <w:rPr>
          <w:sz w:val="21"/>
        </w:rPr>
        <w:t>A register draft ≠ GDPR compliance: one required document, not the whole program — DPO/legal validation recommended in every report</w:t>
      </w:r>
    </w:p>
    <w:p>
      <w:pPr>
        <w:pStyle w:val="ListBullet"/>
        <w:spacing w:after="60"/>
      </w:pPr>
      <w:r>
        <w:rPr>
          <w:sz w:val="21"/>
        </w:rPr>
        <w:t>100% read, zero write · IBANs masked (last 4 digits) · pagination ≤ 50 everywhere · all examples in the docs are invented</w:t>
      </w:r>
    </w:p>
    <w:p>
      <w:pPr>
        <w:spacing w:before="360"/>
        <w:jc w:val="center"/>
      </w:pPr>
      <w:r>
        <w:rPr>
          <w:color w:val="5A5670"/>
          <w:sz w:val="17"/>
        </w:rPr>
        <w:t>qonto-rgpd-register · English documentation · Qonto × Anthropic MCP Hackathon · July 2026 · PR deliverable: SKILL.md · French version: doc-qonto-rgpd-register.fr.docx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