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qonto-rgpd-register</w:t>
      </w:r>
    </w:p>
    <w:p>
      <w:pPr>
        <w:jc w:val="center"/>
      </w:pPr>
      <w:r>
        <w:rPr>
          <w:b/>
          <w:color w:val="1D1B29"/>
          <w:sz w:val="26"/>
        </w:rPr>
        <w:t>Ton compte bancaire connaît tes sous-traitants mieux que toi — le registre art. 30 RGPD généré depuis les dépenses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100 % lecture — zéro écriture  ·  Pan-européen (RGPD = toute l'UE)  ·  Projet à valider (DPO/juriste)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Le registre des activités de traitement (art. 30 RGPD), c'est le document que 90 % des TPE n'ont pas — et le premier que la CNIL demande. Or la liste des sous-traitants qui traitent les données personnelles est déjà écrite quelque part : dans les débits. Le skill la lit :</w:t>
      </w:r>
    </w:p>
    <w:p>
      <w:pPr>
        <w:pStyle w:val="ListBullet"/>
        <w:spacing w:after="60"/>
      </w:pPr>
      <w:r>
        <w:rPr>
          <w:sz w:val="21"/>
        </w:rPr>
        <w:t>1. Détection des sous-traitants — les SaaS qui traitent des données personnelles (CRM, emailing, analytics, IA, cloud, paie, support), reconnus par la culture générale de Claude dès la première occurrence</w:t>
      </w:r>
    </w:p>
    <w:p>
      <w:pPr>
        <w:pStyle w:val="ListBullet"/>
        <w:spacing w:after="60"/>
      </w:pPr>
      <w:r>
        <w:rPr>
          <w:sz w:val="21"/>
        </w:rPr>
        <w:t>2. Classification par traitement — finalité, catégories de données typiques, personnes concernées, siège et hébergement UE / hors-UE — chaque attribut marqué « à valider »</w:t>
      </w:r>
    </w:p>
    <w:p>
      <w:pPr>
        <w:pStyle w:val="ListBullet"/>
        <w:spacing w:after="60"/>
      </w:pPr>
      <w:r>
        <w:rPr>
          <w:sz w:val="21"/>
        </w:rPr>
        <w:t>3. Projet de registre art. 30 au format CNIL — une fiche par traitement, en-tête responsable rempli depuis get_organization, placeholders visibles pour les décisions humaines</w:t>
      </w:r>
    </w:p>
    <w:p>
      <w:pPr>
        <w:pStyle w:val="ListBullet"/>
        <w:spacing w:after="60"/>
      </w:pPr>
      <w:r>
        <w:rPr>
          <w:sz w:val="21"/>
        </w:rPr>
        <w:t>4. Drapeaux actionnables — 🔴 transfert hors UE → clauses contractuelles types à vérifier · 🟠 DPA à retrouver ou signer · 🟡 outil disparu des débits depuis 6 mois → à sortir du registre ?</w:t>
      </w:r>
    </w:p>
    <w:p>
      <w:r>
        <w:rPr>
          <w:b w:val="0"/>
          <w:i w:val="0"/>
          <w:sz w:val="21"/>
        </w:rPr>
        <w:t>Même matière première que qonto-subscription-audit, lecture opposée : lui chiffre le coût des abonnements, celui-ci en tire l'obligation légale.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RGPD = toute l'UE — skill pan-européen. France : format et références CNIL ; autres pays Qonto : même registre, autorité locale (BfDI/LfDI, AEPD, Garante, DSB, AP, APD/GBA, CNPD)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Historique de dépenses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12-24 mois idéalement ; compte mince → squelette de registre + parties manquantes nommées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DPO ou juriste pour valider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Le skill produit un projet : qualification, bases légales et durées restent des décisions humaines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✅ À la fin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(zéro écriture)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Reconnaissance dès la première occurrence : la culture générale de Claude identifie l'éditeur (siège, rôle, données typiques) — pas de seuil de récurrence, l'outil payé à l'année est vu aussi</w:t>
      </w:r>
    </w:p>
    <w:p>
      <w:pPr>
        <w:pStyle w:val="ListBullet"/>
        <w:spacing w:after="60"/>
      </w:pPr>
      <w:r>
        <w:rPr>
          <w:sz w:val="21"/>
        </w:rPr>
        <w:t>Graphies normalisées et fusionnées (GOOGLE *WORKSPACE / GOOGLE IRELAND LTD / Google Cloud EMEA = un fournisseur) ; croisement avec les factures fournisseurs, plus propres que les libellés carte</w:t>
      </w:r>
    </w:p>
    <w:p>
      <w:pPr>
        <w:pStyle w:val="ListBullet"/>
        <w:spacing w:after="60"/>
      </w:pPr>
      <w:r>
        <w:rPr>
          <w:sz w:val="21"/>
        </w:rPr>
        <w:t>Rien ne disparaît en silence : les dépenses hors périmètre (frais bancaires, déplacements, matériel) sont listées en annexe « hors champ »</w:t>
      </w:r>
    </w:p>
    <w:p>
      <w:pPr>
        <w:pStyle w:val="ListBullet"/>
        <w:spacing w:after="60"/>
      </w:pPr>
      <w:r>
        <w:rPr>
          <w:sz w:val="21"/>
        </w:rPr>
        <w:t>Ambiguïtés dites, jamais tranchées : rôles réellement ambigus (prestataires de paiement souvent responsables autonomes) → annoncés comme tels, « à valider »</w:t>
      </w:r>
    </w:p>
    <w:p>
      <w:pPr>
        <w:pStyle w:val="ListBullet"/>
        <w:spacing w:after="60"/>
      </w:pPr>
      <w:r>
        <w:rPr>
          <w:sz w:val="21"/>
        </w:rPr>
        <w:t>Éditeur masqué par un revendeur, une marketplace ou un app store → drapeau 🟡, le skill demande au lieu de deviner</w:t>
      </w:r>
    </w:p>
    <w:p>
      <w:pPr>
        <w:pStyle w:val="ListBullet"/>
        <w:spacing w:after="60"/>
      </w:pPr>
      <w:r>
        <w:rPr>
          <w:sz w:val="21"/>
        </w:rPr>
        <w:t>Fournisseur inconnu → « non identifié — vérifier la facture », jamais un siège inventé · pagination ≤ 50 · emitted_at (pas settled_at) pour la date de dernière utilisation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quatre lectures, aucune écriture, validation humaine en bout de chaîne</w:t>
      </w:r>
    </w:p>
    <w:p>
      <w:r>
        <w:rPr>
          <w:b/>
          <w:i w:val="0"/>
          <w:sz w:val="21"/>
        </w:rPr>
        <w:t>🔒 Zéro écriture, par conception : quatre outils de lecture, aucun outil d'écriture. Rien ne bouge sur le compte, aucun fournisseur n'est contacté. Et le document produit est un projet de registre, pas un avis juridique — qualification, bases légales et durées de conservation sont validées par un DPO ou un juriste. Le skill le rappelle sur chaque sortie.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🗂 Catégories de sous-traitants reconnues (exemples illustratifs, pas issus d'un compte réel)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04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Catégorie</w:t>
            </w:r>
          </w:p>
        </w:tc>
        <w:tc>
          <w:tcPr>
            <w:tcW w:type="dxa" w:w="249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Exemples d'outils</w:t>
            </w:r>
          </w:p>
        </w:tc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Données typiques</w:t>
            </w:r>
          </w:p>
        </w:tc>
        <w:tc>
          <w:tcPr>
            <w:tcW w:type="dxa" w:w="249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Point d'attention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CRM &amp; prospection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HubSpot, Pipedrive, Salesforce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Identité, coordonnées, historique commercial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Siège US → mécanisme de transfert à vérifier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Emailing &amp; marketing</w:t>
            </w:r>
          </w:p>
        </w:tc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sz w:val="19"/>
              </w:rPr>
              <w:t>Mailchimp, Brevo, Mailjet</w:t>
            </w:r>
          </w:p>
        </w:tc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sz w:val="19"/>
              </w:rPr>
              <w:t>Emails, comportement d'ouverture, segments</w:t>
            </w:r>
          </w:p>
        </w:tc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sz w:val="19"/>
              </w:rPr>
              <w:t>Consentement &amp; base légale à documenter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Analytics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Google Analytics, Matomo, Plausible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Identifiants en ligne, navigation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Hors-UE vs auto-hébergé : régimes très différents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IA</w:t>
            </w:r>
          </w:p>
        </w:tc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sz w:val="19"/>
              </w:rPr>
              <w:t>OpenAI, Anthropic, Mistral</w:t>
            </w:r>
          </w:p>
        </w:tc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sz w:val="19"/>
              </w:rPr>
              <w:t>Contenu des prompts (parfois des données clients !)</w:t>
            </w:r>
          </w:p>
        </w:tc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sz w:val="19"/>
              </w:rPr>
              <w:t>Vérifier l'option « pas d'entraînement sur vos données »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Cloud &amp; hébergement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AWS, Google Cloud, OVHcloud, Scaleway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Toutes les données hébergées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Région d'hébergement UE disponible ? activée ?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Paie &amp; RH</w:t>
            </w:r>
          </w:p>
        </w:tc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sz w:val="19"/>
              </w:rPr>
              <w:t>PayFit, Silae, Lucca</w:t>
            </w:r>
          </w:p>
        </w:tc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sz w:val="19"/>
              </w:rPr>
              <w:t>Données salariés (sensibles : NIR, salaires)</w:t>
            </w:r>
          </w:p>
        </w:tc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sz w:val="19"/>
              </w:rPr>
              <w:t>Fiche RH obligatoire, durées légales spécifiques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Support client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Zendesk, Intercom, Crisp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Identité, échanges, métadonnées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Conversations = données personnelles, souvent oublié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r>
              <w:rPr>
                <w:b/>
                <w:sz w:val="19"/>
              </w:rPr>
              <w:t>E-commerce &amp; paiement</w:t>
            </w:r>
          </w:p>
        </w:tc>
        <w:tc>
          <w:tcPr>
            <w:tcW w:type="dxa" w:w="2494"/>
            <w:shd w:val="clear" w:fill="F1EDFF"/>
          </w:tcPr>
          <w:p>
            <w:r>
              <w:rPr>
                <w:sz w:val="19"/>
              </w:rPr>
              <w:t>Shopify, Stripe</w:t>
            </w:r>
          </w:p>
        </w:tc>
        <w:tc>
          <w:tcPr>
            <w:tcW w:type="dxa" w:w="2608"/>
            <w:shd w:val="clear" w:fill="F1EDFF"/>
          </w:tcPr>
          <w:p>
            <w:r>
              <w:rPr>
                <w:sz w:val="19"/>
              </w:rPr>
              <w:t>Clients finaux, transactions</w:t>
            </w:r>
          </w:p>
        </w:tc>
        <w:tc>
          <w:tcPr>
            <w:tcW w:type="dxa" w:w="2494"/>
            <w:shd w:val="clear" w:fill="F1EDFF"/>
          </w:tcPr>
          <w:p>
            <w:r>
              <w:rPr>
                <w:sz w:val="19"/>
              </w:rPr>
              <w:t>Rôle contrôleur/sous-traitant ambigu → à valider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🚩 Les drapeaux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15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Drapeau</w:t>
            </w:r>
          </w:p>
        </w:tc>
        <w:tc>
          <w:tcPr>
            <w:tcW w:type="dxa" w:w="328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Déclencheur</w:t>
            </w:r>
          </w:p>
        </w:tc>
        <w:tc>
          <w:tcPr>
            <w:tcW w:type="dxa" w:w="419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Action proposée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</w:pPr>
            <w:r>
              <w:rPr>
                <w:b/>
                <w:sz w:val="19"/>
              </w:rPr>
              <w:t>🔴 Transfert hors UE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Siège ou hébergement hors UE détecté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Vérifier adéquation / clauses contractuelles types / annexes du DPA</w:t>
            </w:r>
          </w:p>
        </w:tc>
      </w:tr>
      <w:tr>
        <w:trPr>
          <w:cantSplit/>
        </w:trPr>
        <w:tc>
          <w:tcPr>
            <w:tcW w:type="dxa" w:w="215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🟠 DPA à vérifier</w:t>
            </w:r>
          </w:p>
        </w:tc>
        <w:tc>
          <w:tcPr>
            <w:tcW w:type="dxa" w:w="3288"/>
            <w:shd w:val="clear" w:fill="F1EDFF"/>
          </w:tcPr>
          <w:p>
            <w:pPr>
              <w:keepNext/>
            </w:pPr>
            <w:r>
              <w:rPr>
                <w:sz w:val="19"/>
              </w:rPr>
              <w:t>Sous-traitant sans DPA connu signé</w:t>
            </w:r>
          </w:p>
        </w:tc>
        <w:tc>
          <w:tcPr>
            <w:tcW w:type="dxa" w:w="4195"/>
            <w:shd w:val="clear" w:fill="F1EDFF"/>
          </w:tcPr>
          <w:p>
            <w:pPr>
              <w:keepNext/>
            </w:pPr>
            <w:r>
              <w:rPr>
                <w:sz w:val="19"/>
              </w:rPr>
              <w:t>Retrouver la page DPA de l'éditeur, signer ou archiver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</w:pPr>
            <w:r>
              <w:rPr>
                <w:b/>
                <w:sz w:val="19"/>
              </w:rPr>
              <w:t>🟡 Outil fantôme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Plus aucun débit depuis ≥ 6 mois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Confirmer l'abandon → sortir du registre + demande de suppression des données</w:t>
            </w:r>
          </w:p>
        </w:tc>
      </w:tr>
      <w:tr>
        <w:trPr>
          <w:cantSplit/>
        </w:trPr>
        <w:tc>
          <w:tcPr>
            <w:tcW w:type="dxa" w:w="2154"/>
            <w:shd w:val="clear" w:fill="F1EDFF"/>
          </w:tcPr>
          <w:p>
            <w:r>
              <w:rPr>
                <w:b/>
                <w:sz w:val="19"/>
              </w:rPr>
              <w:t>🟡 Éditeur masqué</w:t>
            </w:r>
          </w:p>
        </w:tc>
        <w:tc>
          <w:tcPr>
            <w:tcW w:type="dxa" w:w="3288"/>
            <w:shd w:val="clear" w:fill="F1EDFF"/>
          </w:tcPr>
          <w:p>
            <w:r>
              <w:rPr>
                <w:sz w:val="19"/>
              </w:rPr>
              <w:t>Revendeur, marketplace ou app store dans le libellé</w:t>
            </w:r>
          </w:p>
        </w:tc>
        <w:tc>
          <w:tcPr>
            <w:tcW w:type="dxa" w:w="4195"/>
            <w:shd w:val="clear" w:fill="F1EDFF"/>
          </w:tcPr>
          <w:p>
            <w:r>
              <w:rPr>
                <w:sz w:val="19"/>
              </w:rPr>
              <w:t>Le skill demande quel produit se cache derrière — jamais de devinette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: synthèse, fiche par traitement, to-do priorisée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Registre imprimable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Fichier/artifact HTML : en-tête responsable, fiches art. 30, annexe sous-traitants, to-do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Si l'hôte affiche les fichiers ; repli sur tableaux sinon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Bandeau disclaimer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« Projet de registre, pas un avis juridique — à valider (DPO/juriste) »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Sur chaque sortie, sans exception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problème (le document que personne n'a) → scan des débits → classification &amp; fiches → le registre art. 30 complet généré depuis un relevé bancaire → to-do DPA/transferts. Tournée en live sur un compte de production réel.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Multi-MCP optionnel : scan Gmail/Drive pour retrouver les DPA déjà signés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Détection dynamique — s'active si le MCP est présent, sinon le skill le dit et continue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Diff de registre : relancer 6 mois plus tard → entrants / sortants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Réutilise la date de dernière apparition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Modèles de courrier « demande de DPA » et « demande de suppression »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Toujours zéro écriture — texte à copier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Annexe AIPD : traitements susceptibles d'exiger une analyse d'impact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Toujours « à valider », jamais de qualification définitive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Jamais de qualification juridique définitive (sous-traitant vs responsable vs conjoint, base légale, durées) — chaque fiche porte « à valider », les champs à décider restent des placeholders visibles</w:t>
      </w:r>
    </w:p>
    <w:p>
      <w:pPr>
        <w:pStyle w:val="ListBullet"/>
        <w:spacing w:after="60"/>
      </w:pPr>
      <w:r>
        <w:rPr>
          <w:sz w:val="21"/>
        </w:rPr>
        <w:t>Jamais de fait inventé sur un fournisseur : siège ou hébergement inconnu → dit inconnu, « vérifier la facture / la page DPA » en étape suivante</w:t>
      </w:r>
    </w:p>
    <w:p>
      <w:pPr>
        <w:pStyle w:val="ListBullet"/>
        <w:spacing w:after="60"/>
      </w:pPr>
      <w:r>
        <w:rPr>
          <w:sz w:val="21"/>
        </w:rPr>
        <w:t>Un projet de registre ≠ la conformité RGPD : c'est une pièce obligatoire, pas tout le programme — validation DPO/juriste recommandée dans chaque rapport</w:t>
      </w:r>
    </w:p>
    <w:p>
      <w:pPr>
        <w:pStyle w:val="ListBullet"/>
        <w:spacing w:after="60"/>
      </w:pPr>
      <w:r>
        <w:rPr>
          <w:sz w:val="21"/>
        </w:rPr>
        <w:t>100 % lecture, zéro écriture · IBAN masqués (4 derniers chiffres) · pagination ≤ 50 partout · tous les exemples des docs sont inventés</w:t>
      </w:r>
    </w:p>
    <w:p>
      <w:pPr>
        <w:spacing w:before="360"/>
        <w:jc w:val="center"/>
      </w:pPr>
      <w:r>
        <w:rPr>
          <w:color w:val="5A5670"/>
          <w:sz w:val="17"/>
        </w:rPr>
        <w:t>qonto-rgpd-register · Documentation FR (pilotage) · Hackathon Qonto × Anthropic MCP · juillet 2026 · Livrable PR : SKILL.md · Version jury : doc-qonto-rgpd-register.en.docx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