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enlo" w:hAnsi="Menlo"/>
          <w:b/>
          <w:color w:val="6B4EFF"/>
          <w:sz w:val="60"/>
        </w:rPr>
        <w:t>qonto-grant-scout</w:t>
      </w:r>
    </w:p>
    <w:p>
      <w:pPr>
        <w:jc w:val="center"/>
      </w:pPr>
      <w:r>
        <w:rPr>
          <w:b/>
          <w:color w:val="1D1B29"/>
          <w:sz w:val="26"/>
        </w:rPr>
        <w:t>The grant hunter — your bank account knows what you invest in; public databases know who gets helped for it</w:t>
      </w:r>
    </w:p>
    <w:p>
      <w:pPr>
        <w:spacing w:after="280"/>
        <w:jc w:val="center"/>
      </w:pPr>
      <w:r>
        <w:rPr>
          <w:color w:val="5A5670"/>
          <w:sz w:val="19"/>
        </w:rPr>
        <w:t>Qonto × Anthropic MCP Hackathon  ·  Read-only — zero writes  ·  Dated sources (data.gouv.fr)</w:t>
      </w:r>
    </w:p>
    <w:p>
      <w:pPr>
        <w:pBdr>
          <w:bottom w:val="single" w:sz="24" w:color="6B4EFF"/>
        </w:pBdr>
        <w:spacing w:after="200"/>
      </w:pPr>
    </w:p>
    <w:p>
      <w:pPr>
        <w:keepNext/>
        <w:spacing w:before="320" w:after="120"/>
      </w:pPr>
      <w:r>
        <w:rPr>
          <w:b/>
          <w:color w:val="4A30D9"/>
          <w:sz w:val="32"/>
        </w:rPr>
        <w:t>🎯 Why this matters</w:t>
      </w:r>
    </w:p>
    <w:p>
      <w:r>
        <w:rPr>
          <w:b w:val="0"/>
          <w:i w:val="0"/>
          <w:sz w:val="21"/>
        </w:rPr>
        <w:t>France runs hundreds of public aid schemes for small businesses — training funds, energy-transition grants, regional investment aid, digital vouchers. Most SMEs claim none of them, because nobody has time to dig. Yet the account already tells the story of what the company invests in. The skill makes the introduction:</w:t>
      </w:r>
    </w:p>
    <w:p>
      <w:pPr>
        <w:pStyle w:val="ListBullet"/>
        <w:spacing w:after="60"/>
      </w:pPr>
      <w:r>
        <w:rPr>
          <w:sz w:val="21"/>
        </w:rPr>
        <w:t>1. Real company profile — sector (NAF code when present, inferred from the flows otherwise), region, size (incoming volume), age: get_organization first, zero forms</w:t>
      </w:r>
    </w:p>
    <w:p>
      <w:pPr>
        <w:pStyle w:val="ListBullet"/>
        <w:spacing w:after="60"/>
      </w:pPr>
      <w:r>
        <w:rPr>
          <w:sz w:val="21"/>
        </w:rPr>
        <w:t>2. Real spending structure — 12–24 months of flows classified into aid-relevant categories: training, equipment, digital, hiring, export, energy — each priced in €/year with evidence</w:t>
      </w:r>
    </w:p>
    <w:p>
      <w:pPr>
        <w:pStyle w:val="ListBullet"/>
        <w:spacing w:after="60"/>
      </w:pPr>
      <w:r>
        <w:rPr>
          <w:sz w:val="21"/>
        </w:rPr>
        <w:t>3. Cross-reference with public aid referentials via the Datagouv MCP (optional, detected dynamically) — every dataset's update date is checked and displayed</w:t>
      </w:r>
    </w:p>
    <w:p>
      <w:pPr>
        <w:pStyle w:val="ListBullet"/>
        <w:spacing w:after="60"/>
      </w:pPr>
      <w:r>
        <w:rPr>
          <w:sz w:val="21"/>
        </w:rPr>
        <w:t>4. Honest shortlist — every lead: criteria to confirm, dated source, one concrete next step. Never “you are eligible” — always “worth checking, here's why”</w:t>
      </w:r>
    </w:p>
    <w:p>
      <w:r>
        <w:rPr>
          <w:b/>
          <w:i w:val="0"/>
          <w:sz w:val="21"/>
        </w:rPr>
        <w:t>Would someone use this on a Monday morning? “Am I leaving public money on the table?” is a question every founder asks — and never has time to answer.</w:t>
      </w:r>
    </w:p>
    <w:p>
      <w:pPr>
        <w:keepNext/>
        <w:spacing w:before="320" w:after="120"/>
      </w:pPr>
      <w:r>
        <w:rPr>
          <w:b/>
          <w:color w:val="4A30D9"/>
          <w:sz w:val="32"/>
        </w:rPr>
        <w:t>📋 Prerequisites</w:t>
      </w:r>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2381"/>
            <w:shd w:val="clear" w:fill="6B4EFF"/>
          </w:tcPr>
          <w:p>
            <w:pPr>
              <w:keepNext/>
            </w:pPr>
            <w:r>
              <w:rPr>
                <w:b/>
                <w:color w:val="FFFFFF"/>
                <w:sz w:val="19"/>
              </w:rPr>
              <w:t>Prerequisite</w:t>
            </w:r>
          </w:p>
        </w:tc>
        <w:tc>
          <w:tcPr>
            <w:tcW w:type="dxa" w:w="5443"/>
            <w:shd w:val="clear" w:fill="6B4EFF"/>
          </w:tcPr>
          <w:p>
            <w:pPr>
              <w:keepNext/>
            </w:pPr>
            <w:r>
              <w:rPr>
                <w:b/>
                <w:color w:val="FFFFFF"/>
                <w:sz w:val="19"/>
              </w:rPr>
              <w:t>Detail</w:t>
            </w:r>
          </w:p>
        </w:tc>
        <w:tc>
          <w:tcPr>
            <w:tcW w:type="dxa" w:w="1814"/>
            <w:shd w:val="clear" w:fill="6B4EFF"/>
          </w:tcPr>
          <w:p>
            <w:pPr>
              <w:keepNext/>
            </w:pPr>
            <w:r>
              <w:rPr>
                <w:b/>
                <w:color w:val="FFFFFF"/>
                <w:sz w:val="19"/>
              </w:rPr>
              <w:t>Required</w:t>
            </w:r>
          </w:p>
        </w:tc>
      </w:tr>
      <w:tr>
        <w:trPr>
          <w:cantSplit/>
        </w:trPr>
        <w:tc>
          <w:tcPr>
            <w:tcW w:type="dxa" w:w="2381"/>
          </w:tcPr>
          <w:p>
            <w:pPr>
              <w:keepNext/>
            </w:pPr>
            <w:r>
              <w:rPr>
                <w:b/>
                <w:sz w:val="19"/>
              </w:rPr>
              <w:t>Qonto production account</w:t>
            </w:r>
          </w:p>
        </w:tc>
        <w:tc>
          <w:tcPr>
            <w:tcW w:type="dxa" w:w="5443"/>
          </w:tcPr>
          <w:p>
            <w:pPr>
              <w:keepNext/>
            </w:pPr>
            <w:r>
              <w:rPr>
                <w:sz w:val="19"/>
              </w:rPr>
              <w:t>Adapts to any organization — get_organization first, nothing hardcoded</w:t>
            </w:r>
          </w:p>
        </w:tc>
        <w:tc>
          <w:tcPr>
            <w:tcW w:type="dxa" w:w="1814"/>
          </w:tcPr>
          <w:p>
            <w:pPr>
              <w:keepNext/>
            </w:pPr>
            <w:r>
              <w:rPr>
                <w:sz w:val="19"/>
              </w:rPr>
              <w:t>✅ Yes</w:t>
            </w:r>
          </w:p>
        </w:tc>
      </w:tr>
      <w:tr>
        <w:trPr>
          <w:cantSplit/>
        </w:trPr>
        <w:tc>
          <w:tcPr>
            <w:tcW w:type="dxa" w:w="2381"/>
            <w:shd w:val="clear" w:fill="F1EDFF"/>
          </w:tcPr>
          <w:p>
            <w:pPr>
              <w:keepNext/>
            </w:pPr>
            <w:r>
              <w:rPr>
                <w:b/>
                <w:sz w:val="19"/>
              </w:rPr>
              <w:t>Country</w:t>
            </w:r>
          </w:p>
        </w:tc>
        <w:tc>
          <w:tcPr>
            <w:tcW w:type="dxa" w:w="5443"/>
            <w:shd w:val="clear" w:fill="F1EDFF"/>
          </w:tcPr>
          <w:p>
            <w:pPr>
              <w:keepNext/>
            </w:pPr>
            <w:r>
              <w:rPr>
                <w:sz w:val="19"/>
              </w:rPr>
              <w:t>Scheme cross-referencing: France only (aid is national/regional). Other Qonto countries (DE, ES, IT…): spending profile only, generic aid families, no scheme ever invented</w:t>
            </w:r>
          </w:p>
        </w:tc>
        <w:tc>
          <w:tcPr>
            <w:tcW w:type="dxa" w:w="1814"/>
            <w:shd w:val="clear" w:fill="F1EDFF"/>
          </w:tcPr>
          <w:p>
            <w:pPr>
              <w:keepNext/>
            </w:pPr>
            <w:r>
              <w:rPr>
                <w:sz w:val="19"/>
              </w:rPr>
              <w:t>ℹ️ Detected</w:t>
            </w:r>
          </w:p>
        </w:tc>
      </w:tr>
      <w:tr>
        <w:trPr>
          <w:cantSplit/>
        </w:trPr>
        <w:tc>
          <w:tcPr>
            <w:tcW w:type="dxa" w:w="2381"/>
          </w:tcPr>
          <w:p>
            <w:pPr>
              <w:keepNext/>
            </w:pPr>
            <w:r>
              <w:rPr>
                <w:b/>
                <w:sz w:val="19"/>
              </w:rPr>
              <w:t>Qonto MCP connected</w:t>
            </w:r>
          </w:p>
        </w:tc>
        <w:tc>
          <w:tcPr>
            <w:tcW w:type="dxa" w:w="5443"/>
          </w:tcPr>
          <w:p>
            <w:pPr>
              <w:keepNext/>
            </w:pPr>
            <w:r>
              <w:rPr>
                <w:sz w:val="19"/>
              </w:rPr>
              <w:t>Official connector (claude.ai / Claude Desktop), OAuth login</w:t>
            </w:r>
          </w:p>
        </w:tc>
        <w:tc>
          <w:tcPr>
            <w:tcW w:type="dxa" w:w="1814"/>
          </w:tcPr>
          <w:p>
            <w:pPr>
              <w:keepNext/>
            </w:pPr>
            <w:r>
              <w:rPr>
                <w:sz w:val="19"/>
              </w:rPr>
              <w:t>✅ Yes</w:t>
            </w:r>
          </w:p>
        </w:tc>
      </w:tr>
      <w:tr>
        <w:trPr>
          <w:cantSplit/>
        </w:trPr>
        <w:tc>
          <w:tcPr>
            <w:tcW w:type="dxa" w:w="2381"/>
            <w:shd w:val="clear" w:fill="F1EDFF"/>
          </w:tcPr>
          <w:p>
            <w:pPr>
              <w:keepNext/>
            </w:pPr>
            <w:r>
              <w:rPr>
                <w:b/>
                <w:sz w:val="19"/>
              </w:rPr>
              <w:t>Datagouv MCP</w:t>
            </w:r>
          </w:p>
        </w:tc>
        <w:tc>
          <w:tcPr>
            <w:tcW w:type="dxa" w:w="5443"/>
            <w:shd w:val="clear" w:fill="F1EDFF"/>
          </w:tcPr>
          <w:p>
            <w:pPr>
              <w:keepNext/>
            </w:pPr>
            <w:r>
              <w:rPr>
                <w:sz w:val="19"/>
              </w:rPr>
              <w:t>Unlocks the referential search. Absent: the skill says so and still delivers profile + aid families + official portals</w:t>
            </w:r>
          </w:p>
        </w:tc>
        <w:tc>
          <w:tcPr>
            <w:tcW w:type="dxa" w:w="1814"/>
            <w:shd w:val="clear" w:fill="F1EDFF"/>
          </w:tcPr>
          <w:p>
            <w:pPr>
              <w:keepNext/>
            </w:pPr>
            <w:r>
              <w:rPr>
                <w:sz w:val="19"/>
              </w:rPr>
              <w:t>⭕ Recommended</w:t>
            </w:r>
          </w:p>
        </w:tc>
      </w:tr>
      <w:tr>
        <w:trPr>
          <w:cantSplit/>
        </w:trPr>
        <w:tc>
          <w:tcPr>
            <w:tcW w:type="dxa" w:w="2381"/>
          </w:tcPr>
          <w:p>
            <w:pPr>
              <w:keepNext/>
            </w:pPr>
            <w:r>
              <w:rPr>
                <w:b/>
                <w:sz w:val="19"/>
              </w:rPr>
              <w:t>≥ 12 months of history</w:t>
            </w:r>
          </w:p>
        </w:tc>
        <w:tc>
          <w:tcPr>
            <w:tcW w:type="dxa" w:w="5443"/>
          </w:tcPr>
          <w:p>
            <w:pPr>
              <w:keepNext/>
            </w:pPr>
            <w:r>
              <w:rPr>
                <w:sz w:val="19"/>
              </w:rPr>
              <w:t>Below that, fragile spending signals — stated (🟡 tags)</w:t>
            </w:r>
          </w:p>
        </w:tc>
        <w:tc>
          <w:tcPr>
            <w:tcW w:type="dxa" w:w="1814"/>
          </w:tcPr>
          <w:p>
            <w:pPr>
              <w:keepNext/>
            </w:pPr>
            <w:r>
              <w:rPr>
                <w:sz w:val="19"/>
              </w:rPr>
              <w:t>⭕ Optional</w:t>
            </w:r>
          </w:p>
        </w:tc>
      </w:tr>
      <w:tr>
        <w:trPr>
          <w:cantSplit/>
        </w:trPr>
        <w:tc>
          <w:tcPr>
            <w:tcW w:type="dxa" w:w="2381"/>
            <w:shd w:val="clear" w:fill="F1EDFF"/>
          </w:tcPr>
          <w:p>
            <w:r>
              <w:rPr>
                <w:b/>
                <w:sz w:val="19"/>
              </w:rPr>
              <w:t>Qonto labels maintained</w:t>
            </w:r>
          </w:p>
        </w:tc>
        <w:tc>
          <w:tcPr>
            <w:tcW w:type="dxa" w:w="5443"/>
            <w:shd w:val="clear" w:fill="F1EDFF"/>
          </w:tcPr>
          <w:p>
            <w:r>
              <w:rPr>
                <w:sz w:val="19"/>
              </w:rPr>
              <w:t>Sharpen spending classification (list_labels); counterparty-based otherwise</w:t>
            </w:r>
          </w:p>
        </w:tc>
        <w:tc>
          <w:tcPr>
            <w:tcW w:type="dxa" w:w="1814"/>
            <w:shd w:val="clear" w:fill="F1EDFF"/>
          </w:tcPr>
          <w:p>
            <w:r>
              <w:rPr>
                <w:sz w:val="19"/>
              </w:rPr>
              <w:t>⭕ Optional</w:t>
            </w:r>
          </w:p>
        </w:tc>
      </w:tr>
    </w:tbl>
    <w:p>
      <w:pPr>
        <w:spacing w:after="40"/>
      </w:pPr>
    </w:p>
    <w:p>
      <w:pPr>
        <w:keepNext/>
        <w:spacing w:before="320" w:after="120"/>
      </w:pPr>
      <w:r>
        <w:rPr>
          <w:b/>
          <w:color w:val="4A30D9"/>
          <w:sz w:val="32"/>
        </w:rPr>
        <w:t>⚙️ How it works</w:t>
      </w:r>
    </w:p>
    <w:p>
      <w:pPr>
        <w:keepNext/>
        <w:jc w:val="center"/>
      </w:pPr>
      <w:r>
        <w:drawing>
          <wp:inline xmlns:a="http://schemas.openxmlformats.org/drawingml/2006/main" xmlns:pic="http://schemas.openxmlformats.org/drawingml/2006/picture">
            <wp:extent cx="6120000" cy="3271034"/>
            <wp:docPr id="1" name="Picture 1"/>
            <wp:cNvGraphicFramePr>
              <a:graphicFrameLocks noChangeAspect="1"/>
            </wp:cNvGraphicFramePr>
            <a:graphic>
              <a:graphicData uri="http://schemas.openxmlformats.org/drawingml/2006/picture">
                <pic:pic>
                  <pic:nvPicPr>
                    <pic:cNvPr id="0" name="flow.en.png"/>
                    <pic:cNvPicPr/>
                  </pic:nvPicPr>
                  <pic:blipFill>
                    <a:blip r:embed="rId9"/>
                    <a:stretch>
                      <a:fillRect/>
                    </a:stretch>
                  </pic:blipFill>
                  <pic:spPr>
                    <a:xfrm>
                      <a:off x="0" y="0"/>
                      <a:ext cx="6120000" cy="3271034"/>
                    </a:xfrm>
                    <a:prstGeom prst="rect"/>
                  </pic:spPr>
                </pic:pic>
              </a:graphicData>
            </a:graphic>
          </wp:inline>
        </w:drawing>
      </w:r>
    </w:p>
    <w:p>
      <w:pPr>
        <w:spacing w:after="200"/>
        <w:jc w:val="center"/>
      </w:pPr>
      <w:r>
        <w:rPr>
          <w:i/>
          <w:color w:val="5A5670"/>
          <w:sz w:val="17"/>
        </w:rPr>
        <w:t>Diagram 1 — How it works, 6 steps (read-only, zero writes)</w:t>
      </w:r>
    </w:p>
    <w:p>
      <w:pPr>
        <w:keepNext/>
        <w:spacing w:before="200" w:after="120"/>
      </w:pPr>
      <w:r>
        <w:rPr>
          <w:b/>
          <w:color w:val="6B4EFF"/>
          <w:sz w:val="25"/>
        </w:rPr>
        <w:t>Structural honesty (what keeps it credible on uncertain data)</w:t>
      </w:r>
    </w:p>
    <w:p>
      <w:pPr>
        <w:pStyle w:val="ListBullet"/>
        <w:spacing w:after="60"/>
      </w:pPr>
      <w:r>
        <w:rPr>
          <w:sz w:val="21"/>
        </w:rPr>
        <w:t>Every lead carries its source AND its date: aid referentials on data.gouv.fr are heterogeneous and sometimes stale — get_dataset_info checks freshness; a dataset older than ~18 months degrades the lead's tag</w:t>
      </w:r>
    </w:p>
    <w:p>
      <w:pPr>
        <w:pStyle w:val="ListBullet"/>
        <w:spacing w:after="60"/>
      </w:pPr>
      <w:r>
        <w:rPr>
          <w:sz w:val="21"/>
        </w:rPr>
        <w:t>Never “you are eligible”: schemes open, close, and change criteria — every lead is “worth checking”, with the criteria the dataset exposes and the body to contact</w:t>
      </w:r>
    </w:p>
    <w:p>
      <w:pPr>
        <w:pStyle w:val="ListBullet"/>
        <w:spacing w:after="60"/>
      </w:pPr>
      <w:r>
        <w:rPr>
          <w:sz w:val="21"/>
        </w:rPr>
        <w:t>Non-queryable resource (PDF, malformed CSV) → the lead becomes a sourced link to the dataset page, stated as such</w:t>
      </w:r>
    </w:p>
    <w:p>
      <w:pPr>
        <w:pStyle w:val="ListBullet"/>
        <w:spacing w:after="60"/>
      </w:pPr>
      <w:r>
        <w:rPr>
          <w:sz w:val="21"/>
        </w:rPr>
        <w:t>Datagouv MCP absent or failing → spending profile + generic aid families + the right official portals, stated plainly</w:t>
      </w:r>
    </w:p>
    <w:p>
      <w:pPr>
        <w:pStyle w:val="ListBullet"/>
        <w:spacing w:after="60"/>
      </w:pPr>
      <w:r>
        <w:rPr>
          <w:sz w:val="21"/>
        </w:rPr>
        <w:t>Sector missing from get_organization → inferred from counterparties, confidence lowered, user can correct</w:t>
      </w:r>
    </w:p>
    <w:p>
      <w:pPr>
        <w:pStyle w:val="ListBullet"/>
        <w:spacing w:after="60"/>
      </w:pPr>
      <w:r>
        <w:rPr>
          <w:sz w:val="21"/>
        </w:rPr>
        <w:t>list_cash_flow_categories → 403 on the claude.ai connector: fallback to list_labels · card spending matched by emitted_at · pagination ≤ 50 everywhere</w:t>
      </w:r>
    </w:p>
    <w:p>
      <w:r>
        <w:br w:type="page"/>
      </w:r>
    </w:p>
    <w:p>
      <w:pPr>
        <w:keepNext/>
        <w:spacing w:before="320" w:after="120"/>
      </w:pPr>
      <w:r>
        <w:rPr>
          <w:b/>
          <w:color w:val="4A30D9"/>
          <w:sz w:val="32"/>
        </w:rPr>
        <w:t>🏗 Functional diagram</w:t>
      </w:r>
    </w:p>
    <w:p>
      <w:pPr>
        <w:keepNext/>
        <w:jc w:val="center"/>
      </w:pPr>
      <w:r>
        <w:drawing>
          <wp:inline xmlns:a="http://schemas.openxmlformats.org/drawingml/2006/main" xmlns:pic="http://schemas.openxmlformats.org/drawingml/2006/picture">
            <wp:extent cx="6120000" cy="3376552"/>
            <wp:docPr id="2" name="Picture 2"/>
            <wp:cNvGraphicFramePr>
              <a:graphicFrameLocks noChangeAspect="1"/>
            </wp:cNvGraphicFramePr>
            <a:graphic>
              <a:graphicData uri="http://schemas.openxmlformats.org/drawingml/2006/picture">
                <pic:pic>
                  <pic:nvPicPr>
                    <pic:cNvPr id="0" name="functional.en.png"/>
                    <pic:cNvPicPr/>
                  </pic:nvPicPr>
                  <pic:blipFill>
                    <a:blip r:embed="rId10"/>
                    <a:stretch>
                      <a:fillRect/>
                    </a:stretch>
                  </pic:blipFill>
                  <pic:spPr>
                    <a:xfrm>
                      <a:off x="0" y="0"/>
                      <a:ext cx="6120000" cy="3376552"/>
                    </a:xfrm>
                    <a:prstGeom prst="rect"/>
                  </pic:spPr>
                </pic:pic>
              </a:graphicData>
            </a:graphic>
          </wp:inline>
        </w:drawing>
      </w:r>
    </w:p>
    <w:p>
      <w:pPr>
        <w:spacing w:after="200"/>
        <w:jc w:val="center"/>
      </w:pPr>
      <w:r>
        <w:rPr>
          <w:i/>
          <w:color w:val="5A5670"/>
          <w:sz w:val="17"/>
        </w:rPr>
        <w:t>Diagram 2 — Actors and flows: read-only on the Qonto side, generic keywords only toward Datagouv</w:t>
      </w:r>
    </w:p>
    <w:p>
      <w:r>
        <w:rPr>
          <w:b/>
          <w:i w:val="0"/>
          <w:sz w:val="21"/>
        </w:rPr>
        <w:t>🔒 Zero writes, and the banking data stays with Qonto: the skill creates no transfer, no invoice, no application. Only generic search keywords (sector, region, aid family) ever reach Datagouv — never an amount, a counterparty name, or an IBAN.</w:t>
      </w:r>
    </w:p>
    <w:p>
      <w:pPr>
        <w:keepNext/>
        <w:spacing w:before="320" w:after="120"/>
      </w:pPr>
      <w:r>
        <w:rPr>
          <w:b/>
          <w:color w:val="4A30D9"/>
          <w:sz w:val="32"/>
        </w:rPr>
        <w:t>🗂 Detected spending → aid families</w:t>
      </w:r>
    </w:p>
    <w:tbl>
      <w:tblPr>
        <w:tblStyle w:val="TableGrid"/>
        <w:tblW w:type="auto" w:w="0"/>
        <w:tblLayout w:type="autofit"/>
        <w:tblLook w:firstColumn="1" w:firstRow="1" w:lastColumn="0" w:lastRow="0" w:noHBand="0" w:noVBand="1" w:val="04A0"/>
      </w:tblPr>
      <w:tblGrid>
        <w:gridCol w:w="2409"/>
        <w:gridCol w:w="2409"/>
        <w:gridCol w:w="2409"/>
        <w:gridCol w:w="2409"/>
      </w:tblGrid>
      <w:tr>
        <w:trPr>
          <w:cantSplit/>
        </w:trPr>
        <w:tc>
          <w:tcPr>
            <w:tcW w:type="dxa" w:w="2608"/>
            <w:shd w:val="clear" w:fill="6B4EFF"/>
          </w:tcPr>
          <w:p>
            <w:pPr>
              <w:keepNext/>
            </w:pPr>
            <w:r>
              <w:rPr>
                <w:b/>
                <w:color w:val="FFFFFF"/>
                <w:sz w:val="19"/>
              </w:rPr>
              <w:t>Spending seen in the flows</w:t>
            </w:r>
          </w:p>
        </w:tc>
        <w:tc>
          <w:tcPr>
            <w:tcW w:type="dxa" w:w="2041"/>
            <w:shd w:val="clear" w:fill="6B4EFF"/>
          </w:tcPr>
          <w:p>
            <w:pPr>
              <w:keepNext/>
            </w:pPr>
            <w:r>
              <w:rPr>
                <w:b/>
                <w:color w:val="FFFFFF"/>
                <w:sz w:val="19"/>
              </w:rPr>
              <w:t>Aid family</w:t>
            </w:r>
          </w:p>
        </w:tc>
        <w:tc>
          <w:tcPr>
            <w:tcW w:type="dxa" w:w="2721"/>
            <w:shd w:val="clear" w:fill="6B4EFF"/>
          </w:tcPr>
          <w:p>
            <w:pPr>
              <w:keepNext/>
            </w:pPr>
            <w:r>
              <w:rPr>
                <w:b/>
                <w:color w:val="FFFFFF"/>
                <w:sz w:val="19"/>
              </w:rPr>
              <w:t>Examples (verify at the source)</w:t>
            </w:r>
          </w:p>
        </w:tc>
        <w:tc>
          <w:tcPr>
            <w:tcW w:type="dxa" w:w="2268"/>
            <w:shd w:val="clear" w:fill="6B4EFF"/>
          </w:tcPr>
          <w:p>
            <w:pPr>
              <w:keepNext/>
            </w:pPr>
            <w:r>
              <w:rPr>
                <w:b/>
                <w:color w:val="FFFFFF"/>
                <w:sz w:val="19"/>
              </w:rPr>
              <w:t>Typical next step</w:t>
            </w:r>
          </w:p>
        </w:tc>
      </w:tr>
      <w:tr>
        <w:trPr>
          <w:cantSplit/>
        </w:trPr>
        <w:tc>
          <w:tcPr>
            <w:tcW w:type="dxa" w:w="2608"/>
          </w:tcPr>
          <w:p>
            <w:pPr>
              <w:keepNext/>
            </w:pPr>
            <w:r>
              <w:rPr>
                <w:b/>
                <w:sz w:val="19"/>
              </w:rPr>
              <w:t>Training (training bodies, e-learning, certifications)</w:t>
            </w:r>
          </w:p>
        </w:tc>
        <w:tc>
          <w:tcPr>
            <w:tcW w:type="dxa" w:w="2041"/>
          </w:tcPr>
          <w:p>
            <w:pPr>
              <w:keepNext/>
            </w:pPr>
            <w:r>
              <w:rPr>
                <w:sz w:val="19"/>
              </w:rPr>
              <w:t>Training funding</w:t>
            </w:r>
          </w:p>
        </w:tc>
        <w:tc>
          <w:tcPr>
            <w:tcW w:type="dxa" w:w="2721"/>
          </w:tcPr>
          <w:p>
            <w:pPr>
              <w:keepNext/>
            </w:pPr>
            <w:r>
              <w:rPr>
                <w:sz w:val="19"/>
              </w:rPr>
              <w:t>Training-fund (OPCO) coverage, FNE-Formation</w:t>
            </w:r>
          </w:p>
        </w:tc>
        <w:tc>
          <w:tcPr>
            <w:tcW w:type="dxa" w:w="2268"/>
          </w:tcPr>
          <w:p>
            <w:pPr>
              <w:keepNext/>
            </w:pPr>
            <w:r>
              <w:rPr>
                <w:sz w:val="19"/>
              </w:rPr>
              <w:t>Ask your training fund about coverage</w:t>
            </w:r>
          </w:p>
        </w:tc>
      </w:tr>
      <w:tr>
        <w:trPr>
          <w:cantSplit/>
        </w:trPr>
        <w:tc>
          <w:tcPr>
            <w:tcW w:type="dxa" w:w="2608"/>
            <w:shd w:val="clear" w:fill="F1EDFF"/>
          </w:tcPr>
          <w:p>
            <w:pPr>
              <w:keepNext/>
            </w:pPr>
            <w:r>
              <w:rPr>
                <w:b/>
                <w:sz w:val="19"/>
              </w:rPr>
              <w:t>Equipment / machinery</w:t>
            </w:r>
          </w:p>
        </w:tc>
        <w:tc>
          <w:tcPr>
            <w:tcW w:type="dxa" w:w="2041"/>
            <w:shd w:val="clear" w:fill="F1EDFF"/>
          </w:tcPr>
          <w:p>
            <w:pPr>
              <w:keepNext/>
            </w:pPr>
            <w:r>
              <w:rPr>
                <w:sz w:val="19"/>
              </w:rPr>
              <w:t>Regional investment aid</w:t>
            </w:r>
          </w:p>
        </w:tc>
        <w:tc>
          <w:tcPr>
            <w:tcW w:type="dxa" w:w="2721"/>
            <w:shd w:val="clear" w:fill="F1EDFF"/>
          </w:tcPr>
          <w:p>
            <w:pPr>
              <w:keepNext/>
            </w:pPr>
            <w:r>
              <w:rPr>
                <w:sz w:val="19"/>
              </w:rPr>
              <w:t>Regional council schemes</w:t>
            </w:r>
          </w:p>
        </w:tc>
        <w:tc>
          <w:tcPr>
            <w:tcW w:type="dxa" w:w="2268"/>
            <w:shd w:val="clear" w:fill="F1EDFF"/>
          </w:tcPr>
          <w:p>
            <w:pPr>
              <w:keepNext/>
            </w:pPr>
            <w:r>
              <w:rPr>
                <w:sz w:val="19"/>
              </w:rPr>
              <w:t>Check your region's economic desk</w:t>
            </w:r>
          </w:p>
        </w:tc>
      </w:tr>
      <w:tr>
        <w:trPr>
          <w:cantSplit/>
        </w:trPr>
        <w:tc>
          <w:tcPr>
            <w:tcW w:type="dxa" w:w="2608"/>
          </w:tcPr>
          <w:p>
            <w:pPr>
              <w:keepNext/>
            </w:pPr>
            <w:r>
              <w:rPr>
                <w:b/>
                <w:sz w:val="19"/>
              </w:rPr>
              <w:t>Digital (software, SaaS, website)</w:t>
            </w:r>
          </w:p>
        </w:tc>
        <w:tc>
          <w:tcPr>
            <w:tcW w:type="dxa" w:w="2041"/>
          </w:tcPr>
          <w:p>
            <w:pPr>
              <w:keepNext/>
            </w:pPr>
            <w:r>
              <w:rPr>
                <w:sz w:val="19"/>
              </w:rPr>
              <w:t>Digital transformation</w:t>
            </w:r>
          </w:p>
        </w:tc>
        <w:tc>
          <w:tcPr>
            <w:tcW w:type="dxa" w:w="2721"/>
          </w:tcPr>
          <w:p>
            <w:pPr>
              <w:keepNext/>
            </w:pPr>
            <w:r>
              <w:rPr>
                <w:sz w:val="19"/>
              </w:rPr>
              <w:t>France Num, regional digital vouchers</w:t>
            </w:r>
          </w:p>
        </w:tc>
        <w:tc>
          <w:tcPr>
            <w:tcW w:type="dxa" w:w="2268"/>
          </w:tcPr>
          <w:p>
            <w:pPr>
              <w:keepNext/>
            </w:pPr>
            <w:r>
              <w:rPr>
                <w:sz w:val="19"/>
              </w:rPr>
              <w:t>Go through a France Num advisor</w:t>
            </w:r>
          </w:p>
        </w:tc>
      </w:tr>
      <w:tr>
        <w:trPr>
          <w:cantSplit/>
        </w:trPr>
        <w:tc>
          <w:tcPr>
            <w:tcW w:type="dxa" w:w="2608"/>
            <w:shd w:val="clear" w:fill="F1EDFF"/>
          </w:tcPr>
          <w:p>
            <w:pPr>
              <w:keepNext/>
            </w:pPr>
            <w:r>
              <w:rPr>
                <w:b/>
                <w:sz w:val="19"/>
              </w:rPr>
              <w:t>R&amp;D-like spending (prototyping, technical subcontracting)</w:t>
            </w:r>
          </w:p>
        </w:tc>
        <w:tc>
          <w:tcPr>
            <w:tcW w:type="dxa" w:w="2041"/>
            <w:shd w:val="clear" w:fill="F1EDFF"/>
          </w:tcPr>
          <w:p>
            <w:pPr>
              <w:keepNext/>
            </w:pPr>
            <w:r>
              <w:rPr>
                <w:sz w:val="19"/>
              </w:rPr>
              <w:t>Tax incentives</w:t>
            </w:r>
          </w:p>
        </w:tc>
        <w:tc>
          <w:tcPr>
            <w:tcW w:type="dxa" w:w="2721"/>
            <w:shd w:val="clear" w:fill="F1EDFF"/>
          </w:tcPr>
          <w:p>
            <w:pPr>
              <w:keepNext/>
            </w:pPr>
            <w:r>
              <w:rPr>
                <w:sz w:val="19"/>
              </w:rPr>
              <w:t>Research/innovation tax credits (CIR/CII), JEI status</w:t>
            </w:r>
          </w:p>
        </w:tc>
        <w:tc>
          <w:tcPr>
            <w:tcW w:type="dxa" w:w="2268"/>
            <w:shd w:val="clear" w:fill="F1EDFF"/>
          </w:tcPr>
          <w:p>
            <w:pPr>
              <w:keepNext/>
            </w:pPr>
            <w:r>
              <w:rPr>
                <w:sz w:val="19"/>
              </w:rPr>
              <w:t>Review with the accountant</w:t>
            </w:r>
          </w:p>
        </w:tc>
      </w:tr>
      <w:tr>
        <w:trPr>
          <w:cantSplit/>
        </w:trPr>
        <w:tc>
          <w:tcPr>
            <w:tcW w:type="dxa" w:w="2608"/>
          </w:tcPr>
          <w:p>
            <w:pPr>
              <w:keepNext/>
            </w:pPr>
            <w:r>
              <w:rPr>
                <w:b/>
                <w:sz w:val="19"/>
              </w:rPr>
              <w:t>Hiring / apprenticeship</w:t>
            </w:r>
          </w:p>
        </w:tc>
        <w:tc>
          <w:tcPr>
            <w:tcW w:type="dxa" w:w="2041"/>
          </w:tcPr>
          <w:p>
            <w:pPr>
              <w:keepNext/>
            </w:pPr>
            <w:r>
              <w:rPr>
                <w:sz w:val="19"/>
              </w:rPr>
              <w:t>Hiring aid</w:t>
            </w:r>
          </w:p>
        </w:tc>
        <w:tc>
          <w:tcPr>
            <w:tcW w:type="dxa" w:w="2721"/>
          </w:tcPr>
          <w:p>
            <w:pPr>
              <w:keepNext/>
            </w:pPr>
            <w:r>
              <w:rPr>
                <w:sz w:val="19"/>
              </w:rPr>
              <w:t>Apprenticeship aid, France Travail schemes</w:t>
            </w:r>
          </w:p>
        </w:tc>
        <w:tc>
          <w:tcPr>
            <w:tcW w:type="dxa" w:w="2268"/>
          </w:tcPr>
          <w:p>
            <w:pPr>
              <w:keepNext/>
            </w:pPr>
            <w:r>
              <w:rPr>
                <w:sz w:val="19"/>
              </w:rPr>
              <w:t>Simulate on the official portals</w:t>
            </w:r>
          </w:p>
        </w:tc>
      </w:tr>
      <w:tr>
        <w:trPr>
          <w:cantSplit/>
        </w:trPr>
        <w:tc>
          <w:tcPr>
            <w:tcW w:type="dxa" w:w="2608"/>
            <w:shd w:val="clear" w:fill="F1EDFF"/>
          </w:tcPr>
          <w:p>
            <w:pPr>
              <w:keepNext/>
            </w:pPr>
            <w:r>
              <w:rPr>
                <w:b/>
                <w:sz w:val="19"/>
              </w:rPr>
              <w:t>Energy / vehicles / works</w:t>
            </w:r>
          </w:p>
        </w:tc>
        <w:tc>
          <w:tcPr>
            <w:tcW w:type="dxa" w:w="2041"/>
            <w:shd w:val="clear" w:fill="F1EDFF"/>
          </w:tcPr>
          <w:p>
            <w:pPr>
              <w:keepNext/>
            </w:pPr>
            <w:r>
              <w:rPr>
                <w:sz w:val="19"/>
              </w:rPr>
              <w:t>Ecological transition</w:t>
            </w:r>
          </w:p>
        </w:tc>
        <w:tc>
          <w:tcPr>
            <w:tcW w:type="dxa" w:w="2721"/>
            <w:shd w:val="clear" w:fill="F1EDFF"/>
          </w:tcPr>
          <w:p>
            <w:pPr>
              <w:keepNext/>
            </w:pPr>
            <w:r>
              <w:rPr>
                <w:sz w:val="19"/>
              </w:rPr>
              <w:t>ADEME (Tremplin PME), energy-saving certificates</w:t>
            </w:r>
          </w:p>
        </w:tc>
        <w:tc>
          <w:tcPr>
            <w:tcW w:type="dxa" w:w="2268"/>
            <w:shd w:val="clear" w:fill="F1EDFF"/>
          </w:tcPr>
          <w:p>
            <w:pPr>
              <w:keepNext/>
            </w:pPr>
            <w:r>
              <w:rPr>
                <w:sz w:val="19"/>
              </w:rPr>
              <w:t>File on the ADEME portal</w:t>
            </w:r>
          </w:p>
        </w:tc>
      </w:tr>
      <w:tr>
        <w:trPr>
          <w:cantSplit/>
        </w:trPr>
        <w:tc>
          <w:tcPr>
            <w:tcW w:type="dxa" w:w="2608"/>
          </w:tcPr>
          <w:p>
            <w:r>
              <w:rPr>
                <w:b/>
                <w:sz w:val="19"/>
              </w:rPr>
              <w:t>Export / foreign clients</w:t>
            </w:r>
          </w:p>
        </w:tc>
        <w:tc>
          <w:tcPr>
            <w:tcW w:type="dxa" w:w="2041"/>
          </w:tcPr>
          <w:p>
            <w:r>
              <w:rPr>
                <w:sz w:val="19"/>
              </w:rPr>
              <w:t>International</w:t>
            </w:r>
          </w:p>
        </w:tc>
        <w:tc>
          <w:tcPr>
            <w:tcW w:type="dxa" w:w="2721"/>
          </w:tcPr>
          <w:p>
            <w:r>
              <w:rPr>
                <w:sz w:val="19"/>
              </w:rPr>
              <w:t>Bpifrance Assurance Prospection, Team France Export</w:t>
            </w:r>
          </w:p>
        </w:tc>
        <w:tc>
          <w:tcPr>
            <w:tcW w:type="dxa" w:w="2268"/>
          </w:tcPr>
          <w:p>
            <w:r>
              <w:rPr>
                <w:sz w:val="19"/>
              </w:rPr>
              <w:t>Contact the regional export advisor</w:t>
            </w:r>
          </w:p>
        </w:tc>
      </w:tr>
    </w:tbl>
    <w:p>
      <w:pPr>
        <w:spacing w:after="40"/>
      </w:pPr>
    </w:p>
    <w:p>
      <w:pPr>
        <w:keepNext/>
        <w:spacing w:before="320" w:after="120"/>
      </w:pPr>
      <w:r>
        <w:rPr>
          <w:b/>
          <w:color w:val="4A30D9"/>
          <w:sz w:val="32"/>
        </w:rPr>
        <w:t>📤 Output formats</w:t>
      </w:r>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2268"/>
            <w:shd w:val="clear" w:fill="6B4EFF"/>
          </w:tcPr>
          <w:p>
            <w:pPr>
              <w:keepNext/>
            </w:pPr>
            <w:r>
              <w:rPr>
                <w:b/>
                <w:color w:val="FFFFFF"/>
                <w:sz w:val="19"/>
              </w:rPr>
              <w:t>Output</w:t>
            </w:r>
          </w:p>
        </w:tc>
        <w:tc>
          <w:tcPr>
            <w:tcW w:type="dxa" w:w="4309"/>
            <w:shd w:val="clear" w:fill="6B4EFF"/>
          </w:tcPr>
          <w:p>
            <w:pPr>
              <w:keepNext/>
            </w:pPr>
            <w:r>
              <w:rPr>
                <w:b/>
                <w:color w:val="FFFFFF"/>
                <w:sz w:val="19"/>
              </w:rPr>
              <w:t>Format</w:t>
            </w:r>
          </w:p>
        </w:tc>
        <w:tc>
          <w:tcPr>
            <w:tcW w:type="dxa" w:w="3061"/>
            <w:shd w:val="clear" w:fill="6B4EFF"/>
          </w:tcPr>
          <w:p>
            <w:pPr>
              <w:keepNext/>
            </w:pPr>
            <w:r>
              <w:rPr>
                <w:b/>
                <w:color w:val="FFFFFF"/>
                <w:sz w:val="19"/>
              </w:rPr>
              <w:t>When</w:t>
            </w:r>
          </w:p>
        </w:tc>
      </w:tr>
      <w:tr>
        <w:trPr>
          <w:cantSplit/>
        </w:trPr>
        <w:tc>
          <w:tcPr>
            <w:tcW w:type="dxa" w:w="2268"/>
          </w:tcPr>
          <w:p>
            <w:pPr>
              <w:keepNext/>
            </w:pPr>
            <w:r>
              <w:rPr>
                <w:b/>
                <w:sz w:val="19"/>
              </w:rPr>
              <w:t>Conversation reply</w:t>
            </w:r>
          </w:p>
        </w:tc>
        <w:tc>
          <w:tcPr>
            <w:tcW w:type="dxa" w:w="4309"/>
          </w:tcPr>
          <w:p>
            <w:pPr>
              <w:keepNext/>
            </w:pPr>
            <w:r>
              <w:rPr>
                <w:sz w:val="19"/>
              </w:rPr>
              <w:t>Markdown tables: profile + signals, sourced and dated shortlist, limits</w:t>
            </w:r>
          </w:p>
        </w:tc>
        <w:tc>
          <w:tcPr>
            <w:tcW w:type="dxa" w:w="3061"/>
          </w:tcPr>
          <w:p>
            <w:pPr>
              <w:keepNext/>
            </w:pPr>
            <w:r>
              <w:rPr>
                <w:sz w:val="19"/>
              </w:rPr>
              <w:t>Always — the baseline</w:t>
            </w:r>
          </w:p>
        </w:tc>
      </w:tr>
      <w:tr>
        <w:trPr>
          <w:cantSplit/>
        </w:trPr>
        <w:tc>
          <w:tcPr>
            <w:tcW w:type="dxa" w:w="2268"/>
            <w:shd w:val="clear" w:fill="F1EDFF"/>
          </w:tcPr>
          <w:p>
            <w:pPr>
              <w:keepNext/>
            </w:pPr>
            <w:r>
              <w:rPr>
                <w:b/>
                <w:sz w:val="19"/>
              </w:rPr>
              <w:t>Grant radar</w:t>
            </w:r>
          </w:p>
        </w:tc>
        <w:tc>
          <w:tcPr>
            <w:tcW w:type="dxa" w:w="4309"/>
            <w:shd w:val="clear" w:fill="F1EDFF"/>
          </w:tcPr>
          <w:p>
            <w:pPr>
              <w:keepNext/>
            </w:pPr>
            <w:r>
              <w:rPr>
                <w:sz w:val="19"/>
              </w:rPr>
              <w:t>HTML file/artifact: signals × aid families, leads at the intersections, 🟢🟡🔵 tags</w:t>
            </w:r>
          </w:p>
        </w:tc>
        <w:tc>
          <w:tcPr>
            <w:tcW w:type="dxa" w:w="3061"/>
            <w:shd w:val="clear" w:fill="F1EDFF"/>
          </w:tcPr>
          <w:p>
            <w:pPr>
              <w:keepNext/>
            </w:pPr>
            <w:r>
              <w:rPr>
                <w:sz w:val="19"/>
              </w:rPr>
              <w:t>When the host renders files; fallback to tables</w:t>
            </w:r>
          </w:p>
        </w:tc>
      </w:tr>
      <w:tr>
        <w:trPr>
          <w:cantSplit/>
        </w:trPr>
        <w:tc>
          <w:tcPr>
            <w:tcW w:type="dxa" w:w="2268"/>
          </w:tcPr>
          <w:p>
            <w:r>
              <w:rPr>
                <w:b/>
                <w:sz w:val="19"/>
              </w:rPr>
              <w:t>Per-lead brief</w:t>
            </w:r>
          </w:p>
        </w:tc>
        <w:tc>
          <w:tcPr>
            <w:tcW w:type="dxa" w:w="4309"/>
          </w:tcPr>
          <w:p>
            <w:r>
              <w:rPr>
                <w:sz w:val="19"/>
              </w:rPr>
              <w:t>Ready-to-send text block (training fund, accountant, regional desk): signal, scheme, criteria, source</w:t>
            </w:r>
          </w:p>
        </w:tc>
        <w:tc>
          <w:tcPr>
            <w:tcW w:type="dxa" w:w="3061"/>
          </w:tcPr>
          <w:p>
            <w:r>
              <w:rPr>
                <w:sz w:val="19"/>
              </w:rPr>
              <w:t>On request, per retained lead</w:t>
            </w:r>
          </w:p>
        </w:tc>
      </w:tr>
    </w:tbl>
    <w:p>
      <w:pPr>
        <w:spacing w:after="40"/>
      </w:pPr>
    </w:p>
    <w:p>
      <w:r>
        <w:br w:type="page"/>
      </w:r>
    </w:p>
    <w:p>
      <w:pPr>
        <w:keepNext/>
        <w:spacing w:before="320" w:after="120"/>
      </w:pPr>
      <w:r>
        <w:rPr>
          <w:b/>
          <w:color w:val="4A30D9"/>
          <w:sz w:val="32"/>
        </w:rPr>
        <w:t>🎬 Demo video</w:t>
      </w:r>
    </w:p>
    <w:p>
      <w:r>
        <w:rPr>
          <w:b w:val="0"/>
          <w:i w:val="0"/>
          <w:sz w:val="21"/>
        </w:rPr>
        <w:t>The ≤ 3-minute demo attached to the PR walks through: the problem (aid nobody goes hunting for) → the profile emerging from the flows alone → the dated, sourced Datagouv search → the crossing (€9,600/year of training spend spotted → the exact scheme, the link, and what to ask the training fund) → honesty by design. It runs live on a real production account.</w:t>
      </w:r>
    </w:p>
    <w:p>
      <w:pPr>
        <w:keepNext/>
        <w:spacing w:before="320" w:after="120"/>
      </w:pPr>
      <w:r>
        <w:rPr>
          <w:b/>
          <w:color w:val="4A30D9"/>
          <w:sz w:val="32"/>
        </w:rPr>
        <w:t>💡 Roadmap ideas</w:t>
      </w:r>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4762"/>
            <w:shd w:val="clear" w:fill="6B4EFF"/>
          </w:tcPr>
          <w:p>
            <w:pPr>
              <w:keepNext/>
            </w:pPr>
            <w:r>
              <w:rPr>
                <w:b/>
                <w:color w:val="FFFFFF"/>
                <w:sz w:val="19"/>
              </w:rPr>
              <w:t>Idea</w:t>
            </w:r>
          </w:p>
        </w:tc>
        <w:tc>
          <w:tcPr>
            <w:tcW w:type="dxa" w:w="1474"/>
            <w:shd w:val="clear" w:fill="6B4EFF"/>
          </w:tcPr>
          <w:p>
            <w:pPr>
              <w:keepNext/>
            </w:pPr>
            <w:r>
              <w:rPr>
                <w:b/>
                <w:color w:val="FFFFFF"/>
                <w:sz w:val="19"/>
              </w:rPr>
              <w:t>Effort</w:t>
            </w:r>
          </w:p>
        </w:tc>
        <w:tc>
          <w:tcPr>
            <w:tcW w:type="dxa" w:w="3402"/>
            <w:shd w:val="clear" w:fill="6B4EFF"/>
          </w:tcPr>
          <w:p>
            <w:pPr>
              <w:keepNext/>
            </w:pPr>
            <w:r>
              <w:rPr>
                <w:b/>
                <w:color w:val="FFFFFF"/>
                <w:sz w:val="19"/>
              </w:rPr>
              <w:t>Note</w:t>
            </w:r>
          </w:p>
        </w:tc>
      </w:tr>
      <w:tr>
        <w:trPr>
          <w:cantSplit/>
        </w:trPr>
        <w:tc>
          <w:tcPr>
            <w:tcW w:type="dxa" w:w="4762"/>
          </w:tcPr>
          <w:p>
            <w:pPr>
              <w:keepNext/>
            </w:pPr>
            <w:r>
              <w:rPr>
                <w:b/>
                <w:sz w:val="19"/>
              </w:rPr>
              <w:t>Quarterly re-scan: re-cross the profile, alert only on new leads</w:t>
            </w:r>
          </w:p>
        </w:tc>
        <w:tc>
          <w:tcPr>
            <w:tcW w:type="dxa" w:w="1474"/>
          </w:tcPr>
          <w:p>
            <w:pPr>
              <w:keepNext/>
            </w:pPr>
            <w:r>
              <w:rPr>
                <w:sz w:val="19"/>
              </w:rPr>
              <w:t>Low</w:t>
            </w:r>
          </w:p>
        </w:tc>
        <w:tc>
          <w:tcPr>
            <w:tcW w:type="dxa" w:w="3402"/>
          </w:tcPr>
          <w:p>
            <w:pPr>
              <w:keepNext/>
            </w:pPr>
            <w:r>
              <w:rPr>
                <w:sz w:val="19"/>
              </w:rPr>
              <w:t>Reuses the profile already built</w:t>
            </w:r>
          </w:p>
        </w:tc>
      </w:tr>
      <w:tr>
        <w:trPr>
          <w:cantSplit/>
        </w:trPr>
        <w:tc>
          <w:tcPr>
            <w:tcW w:type="dxa" w:w="4762"/>
            <w:shd w:val="clear" w:fill="F1EDFF"/>
          </w:tcPr>
          <w:p>
            <w:pPr>
              <w:keepNext/>
            </w:pPr>
            <w:r>
              <w:rPr>
                <w:b/>
                <w:sz w:val="19"/>
              </w:rPr>
              <w:t>Aides-territoires enrichment (dedicated API)</w:t>
            </w:r>
          </w:p>
        </w:tc>
        <w:tc>
          <w:tcPr>
            <w:tcW w:type="dxa" w:w="1474"/>
            <w:shd w:val="clear" w:fill="F1EDFF"/>
          </w:tcPr>
          <w:p>
            <w:pPr>
              <w:keepNext/>
            </w:pPr>
            <w:r>
              <w:rPr>
                <w:sz w:val="19"/>
              </w:rPr>
              <w:t>Medium</w:t>
            </w:r>
          </w:p>
        </w:tc>
        <w:tc>
          <w:tcPr>
            <w:tcW w:type="dxa" w:w="3402"/>
            <w:shd w:val="clear" w:fill="F1EDFF"/>
          </w:tcPr>
          <w:p>
            <w:pPr>
              <w:keepNext/>
            </w:pPr>
            <w:r>
              <w:rPr>
                <w:sz w:val="19"/>
              </w:rPr>
              <w:t>Often fresher — same dating discipline</w:t>
            </w:r>
          </w:p>
        </w:tc>
      </w:tr>
      <w:tr>
        <w:trPr>
          <w:cantSplit/>
        </w:trPr>
        <w:tc>
          <w:tcPr>
            <w:tcW w:type="dxa" w:w="4762"/>
          </w:tcPr>
          <w:p>
            <w:pPr>
              <w:keepNext/>
            </w:pPr>
            <w:r>
              <w:rPr>
                <w:b/>
                <w:sz w:val="19"/>
              </w:rPr>
              <w:t>Pre-filled email draft to the training fund / regional desk with the account's numbers</w:t>
            </w:r>
          </w:p>
        </w:tc>
        <w:tc>
          <w:tcPr>
            <w:tcW w:type="dxa" w:w="1474"/>
          </w:tcPr>
          <w:p>
            <w:pPr>
              <w:keepNext/>
            </w:pPr>
            <w:r>
              <w:rPr>
                <w:sz w:val="19"/>
              </w:rPr>
              <w:t>Low</w:t>
            </w:r>
          </w:p>
        </w:tc>
        <w:tc>
          <w:tcPr>
            <w:tcW w:type="dxa" w:w="3402"/>
          </w:tcPr>
          <w:p>
            <w:pPr>
              <w:keepNext/>
            </w:pPr>
            <w:r>
              <w:rPr>
                <w:sz w:val="19"/>
              </w:rPr>
              <w:t>Still zero writes — the user sends it</w:t>
            </w:r>
          </w:p>
        </w:tc>
      </w:tr>
      <w:tr>
        <w:trPr>
          <w:cantSplit/>
        </w:trPr>
        <w:tc>
          <w:tcPr>
            <w:tcW w:type="dxa" w:w="4762"/>
            <w:shd w:val="clear" w:fill="F1EDFF"/>
          </w:tcPr>
          <w:p>
            <w:r>
              <w:rPr>
                <w:b/>
                <w:sz w:val="19"/>
              </w:rPr>
              <w:t>Country modules (DE: KfW · ES: ENISA · IT: Invitalia…)</w:t>
            </w:r>
          </w:p>
        </w:tc>
        <w:tc>
          <w:tcPr>
            <w:tcW w:type="dxa" w:w="1474"/>
            <w:shd w:val="clear" w:fill="F1EDFF"/>
          </w:tcPr>
          <w:p>
            <w:r>
              <w:rPr>
                <w:sz w:val="19"/>
              </w:rPr>
              <w:t>High</w:t>
            </w:r>
          </w:p>
        </w:tc>
        <w:tc>
          <w:tcPr>
            <w:tcW w:type="dxa" w:w="3402"/>
            <w:shd w:val="clear" w:fill="F1EDFF"/>
          </w:tcPr>
          <w:p>
            <w:r>
              <w:rPr>
                <w:sz w:val="19"/>
              </w:rPr>
              <w:t>Qonto is pan-European; v1 = France + country detection</w:t>
            </w:r>
          </w:p>
        </w:tc>
      </w:tr>
    </w:tbl>
    <w:p>
      <w:pPr>
        <w:spacing w:after="40"/>
      </w:pPr>
    </w:p>
    <w:p>
      <w:pPr>
        <w:keepNext/>
        <w:spacing w:before="320" w:after="120"/>
      </w:pPr>
      <w:r>
        <w:rPr>
          <w:b/>
          <w:color w:val="4A30D9"/>
          <w:sz w:val="32"/>
        </w:rPr>
        <w:t>🛡 Guardrails</w:t>
      </w:r>
    </w:p>
    <w:p>
      <w:pPr>
        <w:pStyle w:val="ListBullet"/>
        <w:spacing w:after="60"/>
      </w:pPr>
      <w:r>
        <w:rPr>
          <w:sz w:val="21"/>
        </w:rPr>
        <w:t>Zero writes; only generic keywords reach Datagouv — never amounts, names, or IBANs</w:t>
      </w:r>
    </w:p>
    <w:p>
      <w:pPr>
        <w:pStyle w:val="ListBullet"/>
        <w:spacing w:after="60"/>
      </w:pPr>
      <w:r>
        <w:rPr>
          <w:sz w:val="21"/>
        </w:rPr>
        <w:t>Never “you are eligible” — every lead is dated, sourced, phrased “to verify”; confirmation with the issuing body or the accountant recommended</w:t>
      </w:r>
    </w:p>
    <w:p>
      <w:pPr>
        <w:pStyle w:val="ListBullet"/>
        <w:spacing w:after="60"/>
      </w:pPr>
      <w:r>
        <w:rPr>
          <w:sz w:val="21"/>
        </w:rPr>
        <w:t>Honest degradation: no Datagouv MCP, empty account, undetectable sector, non-FR country → the skill states its limits and never invents a scheme, an amount, or a deadline</w:t>
      </w:r>
    </w:p>
    <w:p>
      <w:pPr>
        <w:pStyle w:val="ListBullet"/>
        <w:spacing w:after="60"/>
      </w:pPr>
      <w:r>
        <w:rPr>
          <w:sz w:val="21"/>
        </w:rPr>
        <w:t>IBANs masked (last 4 digits) · pagination ≤ 50 everywhere</w:t>
      </w:r>
    </w:p>
    <w:p>
      <w:pPr>
        <w:spacing w:before="360"/>
        <w:jc w:val="center"/>
      </w:pPr>
      <w:r>
        <w:rPr>
          <w:color w:val="5A5670"/>
          <w:sz w:val="17"/>
        </w:rPr>
        <w:t>qonto-grant-scout · English documentation · Qonto × Anthropic MCP Hackathon · July 2026 · PR deliverable: SKILL.md · French version: doc-qonto-grant-scout.fr.docx</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Helvetica Neue" w:hAnsi="Helvetica Neue"/>
      <w:color w:val="1D1B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