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qonto-asset-registry</w:t>
      </w:r>
    </w:p>
    <w:p>
      <w:pPr>
        <w:jc w:val="center"/>
      </w:pPr>
      <w:r>
        <w:rPr>
          <w:b/>
          <w:color w:val="1D1B29"/>
          <w:sz w:val="26"/>
        </w:rPr>
        <w:t>Ton compte sait ce que tu possèdes — le registre du matériel que personne ne tient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100 % lecture — zéro écriture  ·  Seuil 500 € HT configurable  ·  Inventaire assurance prêt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Personne ne tient le registre des immobilisations. Et le jour du vol ou du sinistre, l'assureur demande l'inventaire avec les valeurs d'achat et les justificatifs — que personne n'a. Pourtant, le compte Qonto sait déjà tout ce que l'entreprise possède. Le skill le lit :</w:t>
      </w:r>
    </w:p>
    <w:p>
      <w:pPr>
        <w:pStyle w:val="ListBullet"/>
        <w:spacing w:after="60"/>
      </w:pPr>
      <w:r>
        <w:rPr>
          <w:sz w:val="21"/>
        </w:rPr>
        <w:t>1. Détection des équipements dans 24-36 mois d'achats réels (transactions + factures fournisseurs) — informatique, mobilier, machines, véhicules, outillage, téléphonie, reconnus dès la première occurrence</w:t>
      </w:r>
    </w:p>
    <w:p>
      <w:pPr>
        <w:pStyle w:val="ListBullet"/>
        <w:spacing w:after="60"/>
      </w:pPr>
      <w:r>
        <w:rPr>
          <w:sz w:val="21"/>
        </w:rPr>
        <w:t>2. Seuil des 500 € HT — tolérance fiscale française : en dessous = charge, au-dessus = immobilisation (configurable) ; leasing signalé « financé, pas immobilisé ici », jamais compté</w:t>
      </w:r>
    </w:p>
    <w:p>
      <w:pPr>
        <w:pStyle w:val="ListBullet"/>
        <w:spacing w:after="60"/>
      </w:pPr>
      <w:r>
        <w:rPr>
          <w:sz w:val="21"/>
        </w:rPr>
        <w:t>3. Registre des immobilisations — date, fournisseur, description, HT/TTC, justificatif lié, statut — avec jauge de complétude des justificatifs</w:t>
      </w:r>
    </w:p>
    <w:p>
      <w:pPr>
        <w:pStyle w:val="ListBullet"/>
        <w:spacing w:after="60"/>
      </w:pPr>
      <w:r>
        <w:rPr>
          <w:sz w:val="21"/>
        </w:rPr>
        <w:t>4. Deux sorties en or — amortissements indicatifs (linéaire, valeur nette comptable estimée, à valider par l'expert-comptable) et inventaire assurance prêt à transmettre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Mécanique universelle. Seuil 500 € HT + durées d'amortissement = pratique française ; autres pays Qonto (DE, ES, IT…) → registre et inventaire sans suggestion fiscale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Historique 24-36 mois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En dessous : registre partiel, période couverte annoncée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Justificatifs joints aux transactions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Plus il y en a, plus l'inventaire est solide ; les manquants sont listés 📎 (renvoi qonto-receipt-hunter)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(100 % lecture, zéro écriture)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Libellés de transactions cryptiques → les factures fournisseurs, rapprochées par montant et date, portent la description propre et le montant HT</w:t>
      </w:r>
    </w:p>
    <w:p>
      <w:pPr>
        <w:pStyle w:val="ListBullet"/>
        <w:spacing w:after="60"/>
      </w:pPr>
      <w:r>
        <w:rPr>
          <w:sz w:val="21"/>
        </w:rPr>
        <w:t>Marchand généraliste (marketplace, grande surface) → ligne « à confirmer » si la nature ne se déduit pas du libellé ou du justificatif — jamais devinée</w:t>
      </w:r>
    </w:p>
    <w:p>
      <w:pPr>
        <w:pStyle w:val="ListBullet"/>
        <w:spacing w:after="60"/>
      </w:pPr>
      <w:r>
        <w:rPr>
          <w:sz w:val="21"/>
        </w:rPr>
        <w:t>Paiement en plusieurs fois → mensualités égales chez le même vendeur rapprochées en un seul actif à sa valeur totale</w:t>
      </w:r>
    </w:p>
    <w:p>
      <w:pPr>
        <w:pStyle w:val="ListBullet"/>
        <w:spacing w:after="60"/>
      </w:pPr>
      <w:r>
        <w:rPr>
          <w:sz w:val="21"/>
        </w:rPr>
        <w:t>Leasing/LOA → mensualités récurrentes chez un financeur : « financé, pas immobilisé ici », exclu des totaux</w:t>
      </w:r>
    </w:p>
    <w:p>
      <w:pPr>
        <w:pStyle w:val="ListBullet"/>
        <w:spacing w:after="60"/>
      </w:pPr>
      <w:r>
        <w:rPr>
          <w:sz w:val="21"/>
        </w:rPr>
        <w:t>Achats carte datés par emitted_at (règlement décalé de 1-2 jours) · TVA non renseignée → HT estimé et annoncé comme tel · pagination ≤ 50 partout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 seule, aucune écriture</w:t>
      </w:r>
    </w:p>
    <w:p>
      <w:r>
        <w:rPr>
          <w:b/>
          <w:i w:val="0"/>
          <w:sz w:val="21"/>
        </w:rPr>
        <w:t>🔒 100 % lecture — la garantie la plus forte : aucun outil d'écriture n'est appelé, jamais. Aucune catégorie modifiée, aucun document envoyé, aucune demande créée. Le registre s'écrit tout seul ; ton comptable garde le stylo — le seuil des 500 € et les durées d'amortissement sont des usages indicatifs, pas des écritures comptables.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📅 Durées d'amortissement usuelles (pratique française, indicatif)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Catégorie</w:t>
            </w:r>
          </w:p>
        </w:tc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Durée usuelle</w:t>
            </w:r>
          </w:p>
        </w:tc>
        <w:tc>
          <w:tcPr>
            <w:tcW w:type="dxa" w:w="51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Exemples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Informatique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sz w:val="19"/>
              </w:rPr>
              <w:t>3 ans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Ordinateurs, écrans, serveurs, imprimantes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Téléphonie</w:t>
            </w:r>
          </w:p>
        </w:tc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sz w:val="19"/>
              </w:rPr>
              <w:t>3 ans</w:t>
            </w:r>
          </w:p>
        </w:tc>
        <w:tc>
          <w:tcPr>
            <w:tcW w:type="dxa" w:w="5102"/>
            <w:shd w:val="clear" w:fill="F1EDFF"/>
          </w:tcPr>
          <w:p>
            <w:pPr>
              <w:keepNext/>
            </w:pPr>
            <w:r>
              <w:rPr>
                <w:sz w:val="19"/>
              </w:rPr>
              <w:t>Smartphones, standard, casques pro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Outillage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sz w:val="19"/>
              </w:rPr>
              <w:t>5 ans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Outillage d'atelier, électroportatif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Machines</w:t>
            </w:r>
          </w:p>
        </w:tc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sz w:val="19"/>
              </w:rPr>
              <w:t>5-10 ans</w:t>
            </w:r>
          </w:p>
        </w:tc>
        <w:tc>
          <w:tcPr>
            <w:tcW w:type="dxa" w:w="5102"/>
            <w:shd w:val="clear" w:fill="F1EDFF"/>
          </w:tcPr>
          <w:p>
            <w:pPr>
              <w:keepNext/>
            </w:pPr>
            <w:r>
              <w:rPr>
                <w:sz w:val="19"/>
              </w:rPr>
              <w:t>Machines de production, gros équipement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Véhicules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sz w:val="19"/>
              </w:rPr>
              <w:t>4-5 ans</w:t>
            </w:r>
          </w:p>
        </w:tc>
        <w:tc>
          <w:tcPr>
            <w:tcW w:type="dxa" w:w="5102"/>
          </w:tcPr>
          <w:p>
            <w:pPr>
              <w:keepNext/>
            </w:pPr>
            <w:r>
              <w:rPr>
                <w:sz w:val="19"/>
              </w:rPr>
              <w:t>Voitures, utilitaires, deux-roues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Mobilier</w:t>
            </w:r>
          </w:p>
        </w:tc>
        <w:tc>
          <w:tcPr>
            <w:tcW w:type="dxa" w:w="1928"/>
            <w:shd w:val="clear" w:fill="F1EDFF"/>
          </w:tcPr>
          <w:p>
            <w:r>
              <w:rPr>
                <w:sz w:val="19"/>
              </w:rPr>
              <w:t>10 ans</w:t>
            </w:r>
          </w:p>
        </w:tc>
        <w:tc>
          <w:tcPr>
            <w:tcW w:type="dxa" w:w="5102"/>
            <w:shd w:val="clear" w:fill="F1EDFF"/>
          </w:tcPr>
          <w:p>
            <w:r>
              <w:rPr>
                <w:sz w:val="19"/>
              </w:rPr>
              <w:t>Bureaux, sièges, rayonnages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b/>
          <w:color w:val="6B4EFF"/>
          <w:sz w:val="25"/>
        </w:rPr>
        <w:t>Statuts du registre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Statut</w:t>
            </w:r>
          </w:p>
        </w:tc>
        <w:tc>
          <w:tcPr>
            <w:tcW w:type="dxa" w:w="7030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Signification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✅ Immobilisation</w:t>
            </w:r>
          </w:p>
        </w:tc>
        <w:tc>
          <w:tcPr>
            <w:tcW w:type="dxa" w:w="7030"/>
          </w:tcPr>
          <w:p>
            <w:pPr>
              <w:keepNext/>
            </w:pPr>
            <w:r>
              <w:rPr>
                <w:sz w:val="19"/>
              </w:rPr>
              <w:t>Équipement ≥ seuil (500 € HT par défaut), inscrit au registre et amorti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💰 Charge</w:t>
            </w:r>
          </w:p>
        </w:tc>
        <w:tc>
          <w:tcPr>
            <w:tcW w:type="dxa" w:w="7030"/>
            <w:shd w:val="clear" w:fill="F1EDFF"/>
          </w:tcPr>
          <w:p>
            <w:pPr>
              <w:keepNext/>
            </w:pPr>
            <w:r>
              <w:rPr>
                <w:sz w:val="19"/>
              </w:rPr>
              <w:t>Sous le seuil : passé en charge, listé pour mémoire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❓ À confirmer</w:t>
            </w:r>
          </w:p>
        </w:tc>
        <w:tc>
          <w:tcPr>
            <w:tcW w:type="dxa" w:w="7030"/>
          </w:tcPr>
          <w:p>
            <w:pPr>
              <w:keepNext/>
            </w:pPr>
            <w:r>
              <w:rPr>
                <w:sz w:val="19"/>
              </w:rPr>
              <w:t>Marchand généraliste, nature indéterminable — l'utilisateur tranche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🔁 Financé</w:t>
            </w:r>
          </w:p>
        </w:tc>
        <w:tc>
          <w:tcPr>
            <w:tcW w:type="dxa" w:w="7030"/>
            <w:shd w:val="clear" w:fill="F1EDFF"/>
          </w:tcPr>
          <w:p>
            <w:pPr>
              <w:keepNext/>
            </w:pPr>
            <w:r>
              <w:rPr>
                <w:sz w:val="19"/>
              </w:rPr>
              <w:t>Leasing/LOA détecté : signalé, jamais compté dans le total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📎 Manquant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Pas de justificatif lié — renvoi vers qonto-receipt-hunter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Les cessions et mises au rebut sont déclarées par l'utilisateur, jamais supposées.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: registre trié par catégorie/valeur, amortissements, résumé (N actifs · valeur totale · jauge justificatifs)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Dashboard / export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Fichier/artifact HTML autoportant charte Qonto : registre par catégorie, jauge de complétude, total assuré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Si l'hôte affiche les fichiers ; repli sur tableaux sinon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Inventaire assurance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Tableau prêt à transmettre : description, date d'achat, valeur, justificatif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À la demande — idéalement avant le sinistre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le problème (l'inventaire que l'assureur exige et que personne n'a) → le scan → le registre avec justificatifs liés → le moment « tout était déjà là » → dashboard et inventaire assurance. Tournée en live sur un compte de production réel.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Modules pays (seuils et durées DE · ES · IT · AT · NL · BE · PT)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La mécanique est déjà universelle ; il ne manque que les pratiques locales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Détection des cessions par crédit entrant (revente)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Toujours proposée à confirmation, jamais supposée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Rapprochement avec un inventaire physique (photos, étiquettes)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L'inventaire assurance devient opposable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Alerte de fin d'amortissement (renouvellement à budgéter)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Réutilise les dates de fin déjà calculées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Export CSV pour le cabinet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En complément de qonto-accountant-handoff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100 % lecture — aucun outil d'écriture appelé, jamais</w:t>
      </w:r>
    </w:p>
    <w:p>
      <w:pPr>
        <w:pStyle w:val="ListBullet"/>
        <w:spacing w:after="60"/>
      </w:pPr>
      <w:r>
        <w:rPr>
          <w:sz w:val="21"/>
        </w:rPr>
        <w:t>Seuil 500 € HT et durées d'amortissement = usages indicatifs, pas des écritures comptables — décision finale à l'expert-comptable, rappelé dans chaque rapport</w:t>
      </w:r>
    </w:p>
    <w:p>
      <w:pPr>
        <w:pStyle w:val="ListBullet"/>
        <w:spacing w:after="60"/>
      </w:pPr>
      <w:r>
        <w:rPr>
          <w:sz w:val="21"/>
        </w:rPr>
        <w:t>Nature ambiguë → « à confirmer », jamais inventée ; cessions déclarées par l'utilisateur, jamais supposées</w:t>
      </w:r>
    </w:p>
    <w:p>
      <w:pPr>
        <w:pStyle w:val="ListBullet"/>
        <w:spacing w:after="60"/>
      </w:pPr>
      <w:r>
        <w:rPr>
          <w:sz w:val="21"/>
        </w:rPr>
        <w:t>Montants d'exemple inventés et annoncés comme tels · IBAN masqués (4 derniers chiffres) · pagination ≤ 50 partout</w:t>
      </w:r>
    </w:p>
    <w:p>
      <w:pPr>
        <w:spacing w:before="360"/>
        <w:jc w:val="center"/>
      </w:pPr>
      <w:r>
        <w:rPr>
          <w:color w:val="5A5670"/>
          <w:sz w:val="17"/>
        </w:rPr>
        <w:t>qonto-asset-registry · Documentation FR (pilotage) · Hackathon Qonto × Anthropic MCP · juillet 2026 · Livrable PR : SKILL.md · Version jury : doc-qonto-asset-registry.en.docx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