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qonto-tax-radar</w:t>
      </w:r>
    </w:p>
    <w:p>
      <w:pPr>
        <w:jc w:val="center"/>
      </w:pPr>
      <w:r>
        <w:rPr>
          <w:b/>
          <w:color w:val="1D1B29"/>
          <w:sz w:val="26"/>
        </w:rPr>
        <w:t>The tax pre-audit that works FOR you — the 8 real DGFIP axes on your Qonto account</w:t>
      </w:r>
    </w:p>
    <w:p>
      <w:pPr>
        <w:spacing w:after="280"/>
        <w:jc w:val="center"/>
      </w:pPr>
      <w:r>
        <w:rPr>
          <w:color w:val="5A5670"/>
          <w:sz w:val="19"/>
        </w:rPr>
        <w:t>Qonto × Anthropic MCP Hackathon  ·  100% read-only  ·  Every finding sourced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Why this matters</w:t>
      </w:r>
    </w:p>
    <w:p>
      <w:r>
        <w:rPr>
          <w:b w:val="0"/>
          <w:i w:val="0"/>
          <w:sz w:val="21"/>
        </w:rPr>
        <w:t>The number-one fear of French company directors is the tax audit — and nobody knows where they're vulnerable until the letter arrives. The skill flips the roles: it screens Qonto transactions against the 8 verification axes real auditors use, and hands over the report first:</w:t>
      </w:r>
    </w:p>
    <w:p>
      <w:pPr>
        <w:pStyle w:val="ListBullet"/>
        <w:spacing w:after="60"/>
      </w:pPr>
      <w:r>
        <w:rPr>
          <w:sz w:val="21"/>
        </w:rPr>
        <w:t>1. The 8-axis screen — lavish expenses, personal spending booked as business, director's current account, VAT deducted vs receipts actually on file, benefits in kind, duplicate charges, cash, recurring round amounts</w:t>
      </w:r>
    </w:p>
    <w:p>
      <w:pPr>
        <w:pStyle w:val="ListBullet"/>
        <w:spacing w:after="60"/>
      </w:pPr>
      <w:r>
        <w:rPr>
          <w:sz w:val="21"/>
        </w:rPr>
        <w:t>2. Sourced findings — every point = a precise transaction + the tax rule cited + a risk level + a corrective action. 'Points of attention', never accusations</w:t>
      </w:r>
    </w:p>
    <w:p>
      <w:pPr>
        <w:pStyle w:val="ListBullet"/>
        <w:spacing w:after="60"/>
      </w:pPr>
      <w:r>
        <w:rPr>
          <w:sz w:val="21"/>
        </w:rPr>
        <w:t>3. Priced exposure — reclaimable VAT, corporate-tax reintegrations, interest and penalties, as educational orders of magnitude</w:t>
      </w:r>
    </w:p>
    <w:p>
      <w:pPr>
        <w:pStyle w:val="ListBullet"/>
        <w:spacing w:after="60"/>
      </w:pPr>
      <w:r>
        <w:rPr>
          <w:sz w:val="21"/>
        </w:rPr>
        <w:t>4. Remediation plan — the fixes to make BEFORE the tax office asks, then re-run: the grade improves</w:t>
      </w:r>
    </w:p>
    <w:p>
      <w:r>
        <w:rPr>
          <w:b/>
          <w:i w:val="0"/>
          <w:sz w:val="21"/>
        </w:rPr>
        <w:t>Would someone run this on a Monday morning? It's the quarterly 'sleep well' ritual — and priceless the week before the accountant's annual review. And it's the only tax inspector that is fully read-only: it looks, it explains, it de-dramatizes.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Prerequisites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Prerequisite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Detail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Required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production account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Adapts to any organization — get_organization first, nothing hardcoded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Country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8 axes and cited rules: France (CGI, Code de commerce, CMF). Other Qonto countries (DE, ES, IT…): universal axes only, French articles never cited outside their scope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Detected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MCP connected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Official connector (claude.ai / Claude Desktop), OAuth login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≥ 12 months of history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Below that: partial coverage announced, no invented findings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Optional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rPr>
                <w:b/>
                <w:sz w:val="19"/>
              </w:rPr>
              <w:t>Write access, consent</w:t>
            </w:r>
          </w:p>
        </w:tc>
        <w:tc>
          <w:tcPr>
            <w:tcW w:type="dxa" w:w="5443"/>
          </w:tcPr>
          <w:p>
            <w:r>
              <w:rPr>
                <w:sz w:val="19"/>
              </w:rPr>
              <w:t>None — fully read-only, there is literally nothing to authorize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How it works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1 — How it works, 6 steps (zero writes)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Holds up on messy data</w:t>
      </w:r>
    </w:p>
    <w:p>
      <w:pPr>
        <w:pStyle w:val="ListBullet"/>
        <w:spacing w:after="60"/>
      </w:pPr>
      <w:r>
        <w:rPr>
          <w:sz w:val="21"/>
        </w:rPr>
        <w:t>No labels, no categories → the skill screens raw counterparties and merchant names; a user's own 'perso' label, when present, is surfaced gently</w:t>
      </w:r>
    </w:p>
    <w:p>
      <w:pPr>
        <w:pStyle w:val="ListBullet"/>
        <w:spacing w:after="60"/>
      </w:pPr>
      <w:r>
        <w:rPr>
          <w:sz w:val="21"/>
        </w:rPr>
        <w:t>No attachments anywhere → axis 4 becomes the headline finding with the full VAT amount at stake — that IS the value, not a failure mode</w:t>
      </w:r>
    </w:p>
    <w:p>
      <w:pPr>
        <w:pStyle w:val="ListBullet"/>
        <w:spacing w:after="60"/>
      </w:pPr>
      <w:r>
        <w:rPr>
          <w:sz w:val="21"/>
        </w:rPr>
        <w:t>Detection lives in native fields (attachment_ids, attachment_required, vat_amount); list_transaction_attachments only verifies transactions about to be flagged</w:t>
      </w:r>
    </w:p>
    <w:p>
      <w:pPr>
        <w:pStyle w:val="ListBullet"/>
        <w:spacing w:after="60"/>
      </w:pPr>
      <w:r>
        <w:rPr>
          <w:sz w:val="21"/>
        </w:rPr>
        <w:t>Card patterns read on emitted_at (settled_at lags 1–2 days) · 403 on list_cash_flow_categories → labels fallback · pagination ≤ 50 everywhere</w:t>
      </w:r>
    </w:p>
    <w:p>
      <w:pPr>
        <w:pStyle w:val="ListBullet"/>
        <w:spacing w:after="60"/>
      </w:pPr>
      <w:r>
        <w:rPr>
          <w:sz w:val="21"/>
        </w:rPr>
        <w:t>Empty or young account, non-French company: the skill says what it can and can't verify — false positives are owned up front, in as many words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Functional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2 — Actors and flows: reads only, no write path at all</w:t>
      </w:r>
    </w:p>
    <w:p>
      <w:r>
        <w:rPr>
          <w:b/>
          <w:i w:val="0"/>
          <w:sz w:val="21"/>
        </w:rPr>
        <w:t>🔒 Fully read-only — the key point: there are only solid arrows (reads). No write tool is ever called: the skill cannot modify a transaction, set a label, or move a cent. It's the auditor sitting on your side of the desk.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📊 The 8 verification axes (reference grid)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567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Axis</w:t>
            </w:r>
          </w:p>
        </w:tc>
        <w:tc>
          <w:tcPr>
            <w:tcW w:type="dxa" w:w="430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What the skill detects</w:t>
            </w:r>
          </w:p>
        </w:tc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Rule cited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</w:pPr>
            <w:r>
              <w:rPr>
                <w:b/>
                <w:sz w:val="19"/>
              </w:rPr>
              <w:t>1</w:t>
            </w:r>
          </w:p>
        </w:tc>
        <w:tc>
          <w:tcPr>
            <w:tcW w:type="dxa" w:w="2381"/>
          </w:tcPr>
          <w:p>
            <w:pPr>
              <w:keepNext/>
            </w:pPr>
            <w:r>
              <w:rPr>
                <w:sz w:val="19"/>
              </w:rPr>
              <w:t>Lavish expenses</w:t>
            </w:r>
          </w:p>
        </w:tc>
        <w:tc>
          <w:tcPr>
            <w:tcW w:type="dxa" w:w="4309"/>
          </w:tcPr>
          <w:p>
            <w:pPr>
              <w:keepNext/>
            </w:pPr>
            <w:r>
              <w:rPr>
                <w:sz w:val="19"/>
              </w:rPr>
              <w:t>High-end restaurants, travel, gifts above thresholds (VAT on gifts recoverable ≤ €73 incl. tax /yr/beneficiary; statement 2067 if gifts &gt; €3,000/yr)</w:t>
            </w:r>
          </w:p>
        </w:tc>
        <w:tc>
          <w:tcPr>
            <w:tcW w:type="dxa" w:w="2381"/>
          </w:tcPr>
          <w:p>
            <w:pPr>
              <w:keepNext/>
            </w:pPr>
            <w:r>
              <w:rPr>
                <w:sz w:val="19"/>
              </w:rPr>
              <w:t>art. 39-4 CGI; art. 28-00 A ann. IV CGI</w:t>
            </w:r>
          </w:p>
        </w:tc>
      </w:tr>
      <w:tr>
        <w:trPr>
          <w:cantSplit/>
        </w:trPr>
        <w:tc>
          <w:tcPr>
            <w:tcW w:type="dxa" w:w="567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2</w:t>
            </w:r>
          </w:p>
        </w:tc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sz w:val="19"/>
              </w:rPr>
              <w:t>Personal spending as business</w:t>
            </w:r>
          </w:p>
        </w:tc>
        <w:tc>
          <w:tcPr>
            <w:tcW w:type="dxa" w:w="4309"/>
            <w:shd w:val="clear" w:fill="F1EDFF"/>
          </w:tcPr>
          <w:p>
            <w:pPr>
              <w:keepNext/>
            </w:pPr>
            <w:r>
              <w:rPr>
                <w:sz w:val="19"/>
              </w:rPr>
              <w:t>Weekend purchases, merchants inconsistent with the business purpose, consumer subscriptions</w:t>
            </w:r>
          </w:p>
        </w:tc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sz w:val="19"/>
              </w:rPr>
              <w:t>art. 39-1 CGI; abnormal management act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</w:pPr>
            <w:r>
              <w:rPr>
                <w:b/>
                <w:sz w:val="19"/>
              </w:rPr>
              <w:t>3</w:t>
            </w:r>
          </w:p>
        </w:tc>
        <w:tc>
          <w:tcPr>
            <w:tcW w:type="dxa" w:w="2381"/>
          </w:tcPr>
          <w:p>
            <w:pPr>
              <w:keepNext/>
            </w:pPr>
            <w:r>
              <w:rPr>
                <w:sz w:val="19"/>
              </w:rPr>
              <w:t>Director's current account</w:t>
            </w:r>
          </w:p>
        </w:tc>
        <w:tc>
          <w:tcPr>
            <w:tcW w:type="dxa" w:w="4309"/>
          </w:tcPr>
          <w:p>
            <w:pPr>
              <w:keepNext/>
            </w:pPr>
            <w:r>
              <w:rPr>
                <w:sz w:val="19"/>
              </w:rPr>
              <w:t>Transfers to personal-looking beneficiaries, back-and-forth flows, debit-balance patterns</w:t>
            </w:r>
          </w:p>
        </w:tc>
        <w:tc>
          <w:tcPr>
            <w:tcW w:type="dxa" w:w="2381"/>
          </w:tcPr>
          <w:p>
            <w:pPr>
              <w:keepNext/>
            </w:pPr>
            <w:r>
              <w:rPr>
                <w:sz w:val="19"/>
              </w:rPr>
              <w:t>art. L223-21 C. com.; art. 111-a CGI</w:t>
            </w:r>
          </w:p>
        </w:tc>
      </w:tr>
      <w:tr>
        <w:trPr>
          <w:cantSplit/>
        </w:trPr>
        <w:tc>
          <w:tcPr>
            <w:tcW w:type="dxa" w:w="567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4</w:t>
            </w:r>
          </w:p>
        </w:tc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sz w:val="19"/>
              </w:rPr>
              <w:t>VAT deducted vs receipts</w:t>
            </w:r>
          </w:p>
        </w:tc>
        <w:tc>
          <w:tcPr>
            <w:tcW w:type="dxa" w:w="4309"/>
            <w:shd w:val="clear" w:fill="F1EDFF"/>
          </w:tcPr>
          <w:p>
            <w:pPr>
              <w:keepNext/>
            </w:pPr>
            <w:r>
              <w:rPr>
                <w:sz w:val="19"/>
              </w:rPr>
              <w:t>vat_amount &gt; 0 and no attachment on file → VAT deducted with no invoice to show</w:t>
            </w:r>
          </w:p>
        </w:tc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sz w:val="19"/>
              </w:rPr>
              <w:t>art. 271 II CGI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</w:pPr>
            <w:r>
              <w:rPr>
                <w:b/>
                <w:sz w:val="19"/>
              </w:rPr>
              <w:t>5</w:t>
            </w:r>
          </w:p>
        </w:tc>
        <w:tc>
          <w:tcPr>
            <w:tcW w:type="dxa" w:w="2381"/>
          </w:tcPr>
          <w:p>
            <w:pPr>
              <w:keepNext/>
            </w:pPr>
            <w:r>
              <w:rPr>
                <w:sz w:val="19"/>
              </w:rPr>
              <w:t>Benefits in kind</w:t>
            </w:r>
          </w:p>
        </w:tc>
        <w:tc>
          <w:tcPr>
            <w:tcW w:type="dxa" w:w="4309"/>
          </w:tcPr>
          <w:p>
            <w:pPr>
              <w:keepNext/>
            </w:pPr>
            <w:r>
              <w:rPr>
                <w:sz w:val="19"/>
              </w:rPr>
              <w:t>Vehicle, phone, housing, mixed-use subscriptions with no sign of declaration</w:t>
            </w:r>
          </w:p>
        </w:tc>
        <w:tc>
          <w:tcPr>
            <w:tcW w:type="dxa" w:w="2381"/>
          </w:tcPr>
          <w:p>
            <w:pPr>
              <w:keepNext/>
            </w:pPr>
            <w:r>
              <w:rPr>
                <w:sz w:val="19"/>
              </w:rPr>
              <w:t>art. 82 CGI; BOSS</w:t>
            </w:r>
          </w:p>
        </w:tc>
      </w:tr>
      <w:tr>
        <w:trPr>
          <w:cantSplit/>
        </w:trPr>
        <w:tc>
          <w:tcPr>
            <w:tcW w:type="dxa" w:w="567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6</w:t>
            </w:r>
          </w:p>
        </w:tc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sz w:val="19"/>
              </w:rPr>
              <w:t>Duplicate charges</w:t>
            </w:r>
          </w:p>
        </w:tc>
        <w:tc>
          <w:tcPr>
            <w:tcW w:type="dxa" w:w="4309"/>
            <w:shd w:val="clear" w:fill="F1EDFF"/>
          </w:tcPr>
          <w:p>
            <w:pPr>
              <w:keepNext/>
            </w:pPr>
            <w:r>
              <w:rPr>
                <w:sz w:val="19"/>
              </w:rPr>
              <w:t>has_duplicates on supplier invoices; same counterparty + same amount within ±72 h</w:t>
            </w:r>
          </w:p>
        </w:tc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sz w:val="19"/>
              </w:rPr>
              <w:t>art. 54 CGI; art. 1729 (context)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</w:pPr>
            <w:r>
              <w:rPr>
                <w:b/>
                <w:sz w:val="19"/>
              </w:rPr>
              <w:t>7</w:t>
            </w:r>
          </w:p>
        </w:tc>
        <w:tc>
          <w:tcPr>
            <w:tcW w:type="dxa" w:w="2381"/>
          </w:tcPr>
          <w:p>
            <w:pPr>
              <w:keepNext/>
            </w:pPr>
            <w:r>
              <w:rPr>
                <w:sz w:val="19"/>
              </w:rPr>
              <w:t>Cash</w:t>
            </w:r>
          </w:p>
        </w:tc>
        <w:tc>
          <w:tcPr>
            <w:tcW w:type="dxa" w:w="4309"/>
          </w:tcPr>
          <w:p>
            <w:pPr>
              <w:keepNext/>
            </w:pPr>
            <w:r>
              <w:rPr>
                <w:sz w:val="19"/>
              </w:rPr>
              <w:t>Recurring round withdrawals; professional cash payments &gt; €1,000</w:t>
            </w:r>
          </w:p>
        </w:tc>
        <w:tc>
          <w:tcPr>
            <w:tcW w:type="dxa" w:w="2381"/>
          </w:tcPr>
          <w:p>
            <w:pPr>
              <w:keepNext/>
            </w:pPr>
            <w:r>
              <w:rPr>
                <w:sz w:val="19"/>
              </w:rPr>
              <w:t>art. L112-6 + D112-3 CMF</w:t>
            </w:r>
          </w:p>
        </w:tc>
      </w:tr>
      <w:tr>
        <w:trPr>
          <w:cantSplit/>
        </w:trPr>
        <w:tc>
          <w:tcPr>
            <w:tcW w:type="dxa" w:w="567"/>
            <w:shd w:val="clear" w:fill="F1EDFF"/>
          </w:tcPr>
          <w:p>
            <w:r>
              <w:rPr>
                <w:b/>
                <w:sz w:val="19"/>
              </w:rPr>
              <w:t>8</w:t>
            </w:r>
          </w:p>
        </w:tc>
        <w:tc>
          <w:tcPr>
            <w:tcW w:type="dxa" w:w="2381"/>
            <w:shd w:val="clear" w:fill="F1EDFF"/>
          </w:tcPr>
          <w:p>
            <w:r>
              <w:rPr>
                <w:sz w:val="19"/>
              </w:rPr>
              <w:t>Recurring round amounts</w:t>
            </w:r>
          </w:p>
        </w:tc>
        <w:tc>
          <w:tcPr>
            <w:tcW w:type="dxa" w:w="4309"/>
            <w:shd w:val="clear" w:fill="F1EDFF"/>
          </w:tcPr>
          <w:p>
            <w:r>
              <w:rPr>
                <w:sz w:val="19"/>
              </w:rPr>
              <w:t>Regular round transfers to one beneficiary with no matching invoice</w:t>
            </w:r>
          </w:p>
        </w:tc>
        <w:tc>
          <w:tcPr>
            <w:tcW w:type="dxa" w:w="2381"/>
            <w:shd w:val="clear" w:fill="F1EDFF"/>
          </w:tcPr>
          <w:p>
            <w:r>
              <w:rPr>
                <w:sz w:val="19"/>
              </w:rPr>
              <w:t>art. 54 CGI — burden of proof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🟢🟡🔴 per axis, driven by the count AND the amounts. Global grade = worst axis: a real audit follows the weakest point. Enforced wording: 'point of attention', never 'fraud'.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📤 Output formats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When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Conversation reply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Global banner + 8-axis table + findings detail + remediation plan (markdown)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Always — the baseline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Interactive 'pre-audit notice'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HTML file/artifact: global grade, per-axis gauges, checklist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When the host renders files; markdown fallback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Comparative re-run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Same report, with the grade's evolution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Every re-run — the retention loop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Demo video</w:t>
      </w:r>
    </w:p>
    <w:p>
      <w:r>
        <w:rPr>
          <w:b w:val="0"/>
          <w:i w:val="0"/>
          <w:sz w:val="21"/>
        </w:rPr>
        <w:t>The ≤ 3-minute demo attached to the PR walks through: the fear → launching the pre-audit → findings axis by axis (rule cited on screen) → the report dropping ('2 red flags: €1,430 of VAT deducted with no receipt on file, and 3 expenses to reclassify — fix that this month and your file is clean') → the guardrails. It runs live on a real production account.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Roadmap ideas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Idea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Assisted remediation: request_attachment_upload + 'to document' labels, behind explicit consent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The writes exist in the MCP — v1 is deliberately read-only, that's the positioning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Country-specific audit grids (DE · ES · IT…)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Qonto is pan-European; v1 = France + universal axes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Optional multi-MCP enrichment: cross-check axis 4 against invoices in Gmail/Drive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Detected dynamically — otherwise the skill says so and continues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Grade tracking over time (re-run history)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The retention loop, quantified</w:t>
            </w:r>
          </w:p>
        </w:tc>
      </w:tr>
      <w:tr>
        <w:trPr>
          <w:cantSplit/>
        </w:trPr>
        <w:tc>
          <w:tcPr>
            <w:tcW w:type="dxa" w:w="4762"/>
          </w:tcPr>
          <w:p>
            <w:r>
              <w:rPr>
                <w:b/>
                <w:sz w:val="19"/>
              </w:rPr>
              <w:t>9th axis: revenue coherence (paid invoices vs actual inflows)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Already in the original proposal's DNA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Guardrails</w:t>
      </w:r>
    </w:p>
    <w:p>
      <w:pPr>
        <w:pStyle w:val="ListBullet"/>
        <w:spacing w:after="60"/>
      </w:pPr>
      <w:r>
        <w:rPr>
          <w:sz w:val="21"/>
        </w:rPr>
        <w:t>Fully read-only: no write tool is ever called — a commitment, not a setting</w:t>
      </w:r>
    </w:p>
    <w:p>
      <w:pPr>
        <w:pStyle w:val="ListBullet"/>
        <w:spacing w:after="60"/>
      </w:pPr>
      <w:r>
        <w:rPr>
          <w:sz w:val="21"/>
        </w:rPr>
        <w:t>Never an accusation: 'point of attention', not 'fraud'; a flagged expense may be perfectly legitimate — the skill may under- or over-estimate for lack of context, and says so</w:t>
      </w:r>
    </w:p>
    <w:p>
      <w:pPr>
        <w:pStyle w:val="ListBullet"/>
        <w:spacing w:after="60"/>
      </w:pPr>
      <w:r>
        <w:rPr>
          <w:sz w:val="21"/>
        </w:rPr>
        <w:t>Not tax advice, not the administration's position: educational simulation, accountant validation recalled in every report</w:t>
      </w:r>
    </w:p>
    <w:p>
      <w:pPr>
        <w:pStyle w:val="ListBullet"/>
        <w:spacing w:after="60"/>
      </w:pPr>
      <w:r>
        <w:rPr>
          <w:sz w:val="21"/>
        </w:rPr>
        <w:t>Non-French org → universal axes only, French articles never cited outside their scope</w:t>
      </w:r>
    </w:p>
    <w:p>
      <w:pPr>
        <w:pStyle w:val="ListBullet"/>
        <w:spacing w:after="60"/>
      </w:pPr>
      <w:r>
        <w:rPr>
          <w:sz w:val="21"/>
        </w:rPr>
        <w:t>IBANs masked (last 4 digits), sensitive names masked in any export · pagination ≤ 50 everywhere</w:t>
      </w:r>
    </w:p>
    <w:p>
      <w:pPr>
        <w:spacing w:before="360"/>
        <w:jc w:val="center"/>
      </w:pPr>
      <w:r>
        <w:rPr>
          <w:color w:val="5A5670"/>
          <w:sz w:val="17"/>
        </w:rPr>
        <w:t>qonto-tax-radar · English documentation · Qonto × Anthropic MCP Hackathon · July 2026 · PR deliverable: SKILL.md · French version: doc-qonto-tax-radar.fr.docx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