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qonto-tax-radar</w:t>
      </w:r>
    </w:p>
    <w:p>
      <w:pPr>
        <w:jc w:val="center"/>
      </w:pPr>
      <w:r>
        <w:rPr>
          <w:b/>
          <w:color w:val="1D1B29"/>
          <w:sz w:val="26"/>
        </w:rPr>
        <w:t>Le pré-contrôle fiscal qui travaille POUR toi — les 8 axes DGFIP sur ton compte Qonto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Skill #7  ·  Lecture seule intégrale  ·  Chaque signalement sourcé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La peur n°1 du dirigeant français, c'est le contrôle fiscal — et personne ne sait où il est vulnérable. Le skill inverse les rôles : il passe les transactions Qonto au crible des 8 axes de vérification qu'utilise réellement l'administration, et rend le rapport avant elle :</w:t>
      </w:r>
    </w:p>
    <w:p>
      <w:pPr>
        <w:pStyle w:val="ListBullet"/>
        <w:spacing w:after="60"/>
      </w:pPr>
      <w:r>
        <w:rPr>
          <w:sz w:val="21"/>
        </w:rPr>
        <w:t>1. Crible des 8 axes DGFIP — charges somptuaires, dépenses perso passées en pro, compte courant d'associé, TVA déduite vs justificatifs présents, avantages en nature, doublons de charges, espèces, transactions rondes récurrentes</w:t>
      </w:r>
    </w:p>
    <w:p>
      <w:pPr>
        <w:pStyle w:val="ListBullet"/>
        <w:spacing w:after="60"/>
      </w:pPr>
      <w:r>
        <w:rPr>
          <w:sz w:val="21"/>
        </w:rPr>
        <w:t>2. Signalements sourcés — chaque point = transaction précise + règle fiscale citée + niveau de risque + action corrective. Jamais d'accusation : des « points d'attention », pas de la « fraude »</w:t>
      </w:r>
    </w:p>
    <w:p>
      <w:pPr>
        <w:pStyle w:val="ListBullet"/>
        <w:spacing w:after="60"/>
      </w:pPr>
      <w:r>
        <w:rPr>
          <w:sz w:val="21"/>
        </w:rPr>
        <w:t>3. Chiffrage du risque — TVA rappelable, réintégrations IS, intérêts et pénalités, en ordres de grandeur pédagogiques</w:t>
      </w:r>
    </w:p>
    <w:p>
      <w:pPr>
        <w:pStyle w:val="ListBullet"/>
        <w:spacing w:after="60"/>
      </w:pPr>
      <w:r>
        <w:rPr>
          <w:sz w:val="21"/>
        </w:rPr>
        <w:t>4. Plan de régularisation — les corrections à faire AVANT le fisc, puis re-run : la note s'améliore</w:t>
      </w:r>
    </w:p>
    <w:p>
      <w:r>
        <w:rPr>
          <w:b/>
          <w:i w:val="0"/>
          <w:sz w:val="21"/>
        </w:rPr>
        <w:t>Le seul contrôleur fiscal en lecture seule : le skill ne modifie rien, ne tague rien, ne touche à rien. Il regarde, il explique, il dédramatise.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8 axes et règles citées : France (CGI, Code de commerce, CMF). Autres pays Qonto (DE, ES, IT…) : axes universels seulement, jamais un article français cité hors de son champ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Historique ≥ 12 mois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En dessous : couverture partielle annoncée, jamais de finding inventé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⭕ Optionnel</w:t>
            </w:r>
          </w:p>
        </w:tc>
      </w:tr>
      <w:tr>
        <w:trPr>
          <w:cantSplit/>
        </w:trPr>
        <w:tc>
          <w:tcPr>
            <w:tcW w:type="dxa" w:w="2381"/>
          </w:tcPr>
          <w:p>
            <w:r>
              <w:rPr>
                <w:b/>
                <w:sz w:val="19"/>
              </w:rPr>
              <w:t>Écriture, consentement</w:t>
            </w:r>
          </w:p>
        </w:tc>
        <w:tc>
          <w:tcPr>
            <w:tcW w:type="dxa" w:w="5443"/>
          </w:tcPr>
          <w:p>
            <w:r>
              <w:rPr>
                <w:sz w:val="19"/>
              </w:rPr>
              <w:t>Aucun — lecture seule intégrale, il n'y a littéralement rien à autoriser</w:t>
            </w:r>
          </w:p>
        </w:tc>
        <w:tc>
          <w:tcPr>
            <w:tcW w:type="dxa" w:w="1814"/>
          </w:tcPr>
          <w:p>
            <w:r>
              <w:rPr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(zéro écriture)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Pas de labels, pas de catégories → analyse des contreparties et enseignes brutes ; un label « perso » posé par l'utilisateur est remonté avec tact</w:t>
      </w:r>
    </w:p>
    <w:p>
      <w:pPr>
        <w:pStyle w:val="ListBullet"/>
        <w:spacing w:after="60"/>
      </w:pPr>
      <w:r>
        <w:rPr>
          <w:sz w:val="21"/>
        </w:rPr>
        <w:t>Aucun justificatif attaché → l'axe 4 devient le premier point d'attention avec la TVA en jeu — c'est la valeur du skill, pas une erreur</w:t>
      </w:r>
    </w:p>
    <w:p>
      <w:pPr>
        <w:pStyle w:val="ListBullet"/>
        <w:spacing w:after="60"/>
      </w:pPr>
      <w:r>
        <w:rPr>
          <w:sz w:val="21"/>
        </w:rPr>
        <w:t>Détection dans les champs natifs (attachment_ids, attachment_required, vat_amount) ; list_transaction_attachments ne vérifie que les transactions sur le point d'être signalées</w:t>
      </w:r>
    </w:p>
    <w:p>
      <w:pPr>
        <w:pStyle w:val="ListBullet"/>
        <w:spacing w:after="60"/>
      </w:pPr>
      <w:r>
        <w:rPr>
          <w:sz w:val="21"/>
        </w:rPr>
        <w:t>Motifs carte lus sur emitted_at (settled_at décale d'1-2 jours) · 403 sur list_cash_flow_categories → repli labels · pagination ≤ 50 partout</w:t>
      </w:r>
    </w:p>
    <w:p>
      <w:pPr>
        <w:pStyle w:val="ListBullet"/>
        <w:spacing w:after="60"/>
      </w:pPr>
      <w:r>
        <w:rPr>
          <w:sz w:val="21"/>
        </w:rPr>
        <w:t>Compte vide ou jeune, société étrangère : le skill dit ce qu'il peut et ne peut pas vérifier — les faux positifs sont assumés en toutes lettres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uniquement des lectures, aucune écriture</w:t>
      </w:r>
    </w:p>
    <w:p>
      <w:r>
        <w:rPr>
          <w:b/>
          <w:i w:val="0"/>
          <w:sz w:val="21"/>
        </w:rPr>
        <w:t>🔒 Lecture seule intégrale — le point clé : il n'y a que des traits pleins (lecture). Aucun outil d'écriture n'est jamais appelé : impossible de modifier une transaction, de poser un label ou de déplacer un centime. C'est le contrôleur qui regarde le dossier de ton côté du bureau.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📊 Les 8 axes de vérification (grille de référence)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567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Axe</w:t>
            </w:r>
          </w:p>
        </w:tc>
        <w:tc>
          <w:tcPr>
            <w:tcW w:type="dxa" w:w="430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Ce que le skill détecte</w:t>
            </w:r>
          </w:p>
        </w:tc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Règle citée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</w:pPr>
            <w:r>
              <w:rPr>
                <w:b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19"/>
              </w:rPr>
              <w:t>Charges somptuaires</w:t>
            </w:r>
          </w:p>
        </w:tc>
        <w:tc>
          <w:tcPr>
            <w:tcW w:type="dxa" w:w="4309"/>
          </w:tcPr>
          <w:p>
            <w:pPr>
              <w:keepNext/>
            </w:pPr>
            <w:r>
              <w:rPr>
                <w:sz w:val="19"/>
              </w:rPr>
              <w:t>Restaurants haut de gamme, voyages, cadeaux au-delà des seuils (TVA cadeaux ≤ 73 € TTC/an/bénéficiaire ; relevé 2067 si cadeaux &gt; 3 000 €/an)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19"/>
              </w:rPr>
              <w:t>art. 39-4 CGI ; art. 28-00 A ann. IV CGI</w:t>
            </w:r>
          </w:p>
        </w:tc>
      </w:tr>
      <w:tr>
        <w:trPr>
          <w:cantSplit/>
        </w:trPr>
        <w:tc>
          <w:tcPr>
            <w:tcW w:type="dxa" w:w="567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2</w:t>
            </w:r>
          </w:p>
        </w:tc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sz w:val="19"/>
              </w:rPr>
              <w:t>Dépenses perso en pro</w:t>
            </w:r>
          </w:p>
        </w:tc>
        <w:tc>
          <w:tcPr>
            <w:tcW w:type="dxa" w:w="4309"/>
            <w:shd w:val="clear" w:fill="F1EDFF"/>
          </w:tcPr>
          <w:p>
            <w:pPr>
              <w:keepNext/>
            </w:pPr>
            <w:r>
              <w:rPr>
                <w:sz w:val="19"/>
              </w:rPr>
              <w:t>Achats week-end, enseignes hors objet social, abonnements grand public</w:t>
            </w:r>
          </w:p>
        </w:tc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sz w:val="19"/>
              </w:rPr>
              <w:t>art. 39-1 CGI ; acte anormal de gestion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</w:pPr>
            <w:r>
              <w:rPr>
                <w:b/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19"/>
              </w:rPr>
              <w:t>Compte courant d'associé</w:t>
            </w:r>
          </w:p>
        </w:tc>
        <w:tc>
          <w:tcPr>
            <w:tcW w:type="dxa" w:w="4309"/>
          </w:tcPr>
          <w:p>
            <w:pPr>
              <w:keepNext/>
            </w:pPr>
            <w:r>
              <w:rPr>
                <w:sz w:val="19"/>
              </w:rPr>
              <w:t>Virements vers bénéficiaires « perso », allers-retours dirigeant, CCA débiteur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19"/>
              </w:rPr>
              <w:t>art. L223-21 C. com. ; art. 111-a CGI</w:t>
            </w:r>
          </w:p>
        </w:tc>
      </w:tr>
      <w:tr>
        <w:trPr>
          <w:cantSplit/>
        </w:trPr>
        <w:tc>
          <w:tcPr>
            <w:tcW w:type="dxa" w:w="567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4</w:t>
            </w:r>
          </w:p>
        </w:tc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sz w:val="19"/>
              </w:rPr>
              <w:t>TVA déduite vs justificatifs</w:t>
            </w:r>
          </w:p>
        </w:tc>
        <w:tc>
          <w:tcPr>
            <w:tcW w:type="dxa" w:w="4309"/>
            <w:shd w:val="clear" w:fill="F1EDFF"/>
          </w:tcPr>
          <w:p>
            <w:pPr>
              <w:keepNext/>
            </w:pPr>
            <w:r>
              <w:rPr>
                <w:sz w:val="19"/>
              </w:rPr>
              <w:t>vat_amount &gt; 0 et aucun justificatif attaché → TVA déduite sans facture à présenter</w:t>
            </w:r>
          </w:p>
        </w:tc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sz w:val="19"/>
              </w:rPr>
              <w:t>art. 271 II CGI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</w:pPr>
            <w:r>
              <w:rPr>
                <w:b/>
                <w:sz w:val="19"/>
              </w:rPr>
              <w:t>5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19"/>
              </w:rPr>
              <w:t>Avantages en nature</w:t>
            </w:r>
          </w:p>
        </w:tc>
        <w:tc>
          <w:tcPr>
            <w:tcW w:type="dxa" w:w="4309"/>
          </w:tcPr>
          <w:p>
            <w:pPr>
              <w:keepNext/>
            </w:pPr>
            <w:r>
              <w:rPr>
                <w:sz w:val="19"/>
              </w:rPr>
              <w:t>Véhicule, téléphone, logement, abonnements à usage mixte sans trace de déclaration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19"/>
              </w:rPr>
              <w:t>art. 82 CGI ; BOSS</w:t>
            </w:r>
          </w:p>
        </w:tc>
      </w:tr>
      <w:tr>
        <w:trPr>
          <w:cantSplit/>
        </w:trPr>
        <w:tc>
          <w:tcPr>
            <w:tcW w:type="dxa" w:w="567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6</w:t>
            </w:r>
          </w:p>
        </w:tc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sz w:val="19"/>
              </w:rPr>
              <w:t>Doublons de charges</w:t>
            </w:r>
          </w:p>
        </w:tc>
        <w:tc>
          <w:tcPr>
            <w:tcW w:type="dxa" w:w="4309"/>
            <w:shd w:val="clear" w:fill="F1EDFF"/>
          </w:tcPr>
          <w:p>
            <w:pPr>
              <w:keepNext/>
            </w:pPr>
            <w:r>
              <w:rPr>
                <w:sz w:val="19"/>
              </w:rPr>
              <w:t>has_duplicates sur factures fournisseurs ; même contrepartie + même montant à ± 72 h</w:t>
            </w:r>
          </w:p>
        </w:tc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sz w:val="19"/>
              </w:rPr>
              <w:t>art. 54 CGI ; art. 1729 (contexte)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</w:pPr>
            <w:r>
              <w:rPr>
                <w:b/>
                <w:sz w:val="19"/>
              </w:rPr>
              <w:t>7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19"/>
              </w:rPr>
              <w:t>Espèces</w:t>
            </w:r>
          </w:p>
        </w:tc>
        <w:tc>
          <w:tcPr>
            <w:tcW w:type="dxa" w:w="4309"/>
          </w:tcPr>
          <w:p>
            <w:pPr>
              <w:keepNext/>
            </w:pPr>
            <w:r>
              <w:rPr>
                <w:sz w:val="19"/>
              </w:rPr>
              <w:t>Retraits ronds récurrents ; paiements pro en espèces &gt; 1 000 €</w:t>
            </w:r>
          </w:p>
        </w:tc>
        <w:tc>
          <w:tcPr>
            <w:tcW w:type="dxa" w:w="2381"/>
          </w:tcPr>
          <w:p>
            <w:pPr>
              <w:keepNext/>
            </w:pPr>
            <w:r>
              <w:rPr>
                <w:sz w:val="19"/>
              </w:rPr>
              <w:t>art. L112-6 + D112-3 CMF</w:t>
            </w:r>
          </w:p>
        </w:tc>
      </w:tr>
      <w:tr>
        <w:trPr>
          <w:cantSplit/>
        </w:trPr>
        <w:tc>
          <w:tcPr>
            <w:tcW w:type="dxa" w:w="567"/>
            <w:shd w:val="clear" w:fill="F1EDFF"/>
          </w:tcPr>
          <w:p>
            <w:r>
              <w:rPr>
                <w:b/>
                <w:sz w:val="19"/>
              </w:rPr>
              <w:t>8</w:t>
            </w:r>
          </w:p>
        </w:tc>
        <w:tc>
          <w:tcPr>
            <w:tcW w:type="dxa" w:w="2381"/>
            <w:shd w:val="clear" w:fill="F1EDFF"/>
          </w:tcPr>
          <w:p>
            <w:r>
              <w:rPr>
                <w:sz w:val="19"/>
              </w:rPr>
              <w:t>Transactions rondes récurrentes</w:t>
            </w:r>
          </w:p>
        </w:tc>
        <w:tc>
          <w:tcPr>
            <w:tcW w:type="dxa" w:w="4309"/>
            <w:shd w:val="clear" w:fill="F1EDFF"/>
          </w:tcPr>
          <w:p>
            <w:r>
              <w:rPr>
                <w:sz w:val="19"/>
              </w:rPr>
              <w:t>Montants ronds réguliers vers un même bénéficiaire sans facture en face</w:t>
            </w:r>
          </w:p>
        </w:tc>
        <w:tc>
          <w:tcPr>
            <w:tcW w:type="dxa" w:w="2381"/>
            <w:shd w:val="clear" w:fill="F1EDFF"/>
          </w:tcPr>
          <w:p>
            <w:r>
              <w:rPr>
                <w:sz w:val="19"/>
              </w:rPr>
              <w:t>art. 54 CGI — charge de la preuve</w:t>
            </w:r>
          </w:p>
        </w:tc>
      </w:tr>
    </w:tbl>
    <w:p>
      <w:pPr>
        <w:spacing w:after="40"/>
      </w:pPr>
    </w:p>
    <w:p>
      <w:r>
        <w:rPr>
          <w:b w:val="0"/>
          <w:i w:val="0"/>
          <w:sz w:val="21"/>
        </w:rPr>
        <w:t>Niveau 🟢🟡🔴 par axe, piloté par le nombre ET les montants. Note globale = pire axe : un vrai contrôle suit le point faible. Vocabulaire imposé : « point d'attention », jamais « fraude ».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Bandeau global + tableau 8 axes + détail + plan de régularisation (markdown)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« Avis de pré-contrôle » interactif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Fichier/artifact HTML : note globale, jauges par axe, checklist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Si l'hôte affiche les fichiers ; repli markdown sinon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Re-run comparatif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Même rapport, avec l'évolution de la note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À chaque relance — la boucle de rétention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la peur du contrôle → lancement du pré-contrôle → les signalements axe par axe (article cité à l'écran) → le rapport qui tombe (« 2 points rouges : 1 430 € de TVA déduite sans justificatif, et 3 dépenses à requalifier — corrige ça ce mois-ci et ton dossier est propre ») → garde-fous. Tournée en live sur un compte de production réel.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Mode « remédiation assistée » : request_attachment_upload + labels, sous consentement explicite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Les writes existent dans le MCP — v1 volontairement lecture seule, c'est le positionnement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Grilles de vérification par pays (DE · ES · IT…)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Qonto est paneuropéen ; v1 = France + axes universels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Multi-MCP optionnel : croiser l'axe 4 avec les factures Gmail/Drive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Détection dynamique — s'active si le MCP est présent, sinon le skill le dit et continue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Suivi de la note dans le temps (historique des re-runs)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La boucle de rétention, chiffrée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9e axe : cohérence CA (factures encaissées vs entrées)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Déjà dans l'ADN de la proposition d'origine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Lecture seule intégrale : aucun outil d'écriture appelé, jamais — un engagement du skill, pas un réglage</w:t>
      </w:r>
    </w:p>
    <w:p>
      <w:pPr>
        <w:pStyle w:val="ListBullet"/>
        <w:spacing w:after="60"/>
      </w:pPr>
      <w:r>
        <w:rPr>
          <w:sz w:val="21"/>
        </w:rPr>
        <w:t>Jamais d'accusation : « point d'attention », pas « fraude » ; une dépense signalée peut être parfaitement légitime — le skill peut sous- ou sur-estimer faute de contexte, et le dit</w:t>
      </w:r>
    </w:p>
    <w:p>
      <w:pPr>
        <w:pStyle w:val="ListBullet"/>
        <w:spacing w:after="60"/>
      </w:pPr>
      <w:r>
        <w:rPr>
          <w:sz w:val="21"/>
        </w:rPr>
        <w:t>Ce n'est pas un avis fiscal ni une position de l'administration : simulation pédagogique, validation expert-comptable rappelée dans chaque rapport</w:t>
      </w:r>
    </w:p>
    <w:p>
      <w:pPr>
        <w:pStyle w:val="ListBullet"/>
        <w:spacing w:after="60"/>
      </w:pPr>
      <w:r>
        <w:rPr>
          <w:sz w:val="21"/>
        </w:rPr>
        <w:t>Société non française → axes universels seulement, articles français jamais cités hors de leur champ</w:t>
      </w:r>
    </w:p>
    <w:p>
      <w:pPr>
        <w:pStyle w:val="ListBullet"/>
        <w:spacing w:after="60"/>
      </w:pPr>
      <w:r>
        <w:rPr>
          <w:sz w:val="21"/>
        </w:rPr>
        <w:t>IBAN masqués (4 derniers chiffres), noms sensibles masqués dans tout export · pagination ≤ 50 partout</w:t>
      </w:r>
    </w:p>
    <w:p>
      <w:pPr>
        <w:spacing w:before="360"/>
        <w:jc w:val="center"/>
      </w:pPr>
      <w:r>
        <w:rPr>
          <w:color w:val="5A5670"/>
          <w:sz w:val="17"/>
        </w:rPr>
        <w:t>qonto-tax-radar · Documentation FR (pilotage) · Hackathon Qonto × Anthropic MCP · juillet 2026 · Livrable PR : SKILL.md · Version jury : doc-qonto-tax-radar.en.docx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