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qonto-prescription-guard</w:t>
      </w:r>
    </w:p>
    <w:p>
      <w:pPr>
        <w:jc w:val="center"/>
      </w:pPr>
      <w:r>
        <w:rPr>
          <w:b/>
          <w:color w:val="1D1B29"/>
          <w:sz w:val="26"/>
        </w:rPr>
        <w:t>Every unpaid invoice has a legal death date — the skill finds it, and tells you by when to act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100% read-only — zero writes  ·  French rules built in, articles cited  ·  Not legal advice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An unpaid invoice doesn't die when you forget it — it dies when the limitation period runs out: 5 years between businesses (art. L110-4 French Commercial Code), 2 years against a consumer (art. L218-2 French Consumer Code). After that, no court will help you. And the reverse trap is just as real: a partial payment counts as an acknowledgment of the debt and resets the clock — receivables you wrote off may still be alive. The skill puts an expiry date on every receivable:</w:t>
      </w:r>
    </w:p>
    <w:p>
      <w:pPr>
        <w:pStyle w:val="ListBullet"/>
        <w:spacing w:after="60"/>
      </w:pPr>
      <w:r>
        <w:rPr>
          <w:sz w:val="21"/>
        </w:rPr>
        <w:t>1. Full scan — every unpaid client invoice, across the entire history (old, messy invoices are exactly the point)</w:t>
      </w:r>
    </w:p>
    <w:p>
      <w:pPr>
        <w:pStyle w:val="ListBullet"/>
        <w:spacing w:after="60"/>
      </w:pPr>
      <w:r>
        <w:rPr>
          <w:sz w:val="21"/>
        </w:rPr>
        <w:t>2. B2B/B2C qualification — SIREN or VAT number on the client record → likely a business (5 years); otherwise the skill asks, certainty is never claimed</w:t>
      </w:r>
    </w:p>
    <w:p>
      <w:pPr>
        <w:pStyle w:val="ListBullet"/>
        <w:spacing w:after="60"/>
      </w:pPr>
      <w:r>
        <w:rPr>
          <w:sz w:val="21"/>
        </w:rPr>
        <w:t>3. Clock-resetting events — a partial payment spotted in the transactions → “period probably reset on [date] — confirm with a lawyer”; acknowledgments of debt or legal actions declared by the user</w:t>
      </w:r>
    </w:p>
    <w:p>
      <w:pPr>
        <w:pStyle w:val="ListBullet"/>
        <w:spacing w:after="60"/>
      </w:pPr>
      <w:r>
        <w:rPr>
          <w:sz w:val="21"/>
        </w:rPr>
        <w:t>4. The “act before…” schedule — a death date per receivable, time left, sorted by urgency × amount: 🔴 &lt; 6 months · 🟠 &lt; 12 months · 🟡 &lt; 2 years · ⚫ probably time-barred</w:t>
      </w:r>
    </w:p>
    <w:p>
      <w:r>
        <w:rPr>
          <w:b/>
          <w:i w:val="0"/>
          <w:sz w:val="21"/>
        </w:rPr>
        <w:t>Would someone run this on a Monday morning? Once a quarter, before writing anything off — and the first run on an account with years of history is usually a revelation.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Limitation rules: France only. Other Qonto countries (DE, ES, IT…): age-of-receivables report, no legal qualification, never an invented rule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Client invoicing in Qonto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The skill reads list_client_invoices — invoices issued outside Qonto aren't visible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Client records filled in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SIREN / VAT number → automatic B2B qualification; otherwise the skill asks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⭕ Recommended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(100% read-only)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Rules embedded statically (no external dependency): 5 years L110-4 / 2 years L218-2, prudent starting point = the issue date (art. 2224 Civil Code) — never overstate time left</w:t>
      </w:r>
    </w:p>
    <w:p>
      <w:pPr>
        <w:pStyle w:val="ListBullet"/>
        <w:spacing w:after="60"/>
      </w:pPr>
      <w:r>
        <w:rPr>
          <w:sz w:val="21"/>
        </w:rPr>
        <w:t>Misconception #1 corrected: a dunning letter, even registered, does NOT interrupt the period — only an acknowledgment of the debt, a partial payment, or a legal act restarts the clock (art. 2240–2244)</w:t>
      </w:r>
    </w:p>
    <w:p>
      <w:pPr>
        <w:pStyle w:val="ListBullet"/>
        <w:spacing w:after="60"/>
      </w:pPr>
      <w:r>
        <w:rPr>
          <w:sz w:val="21"/>
        </w:rPr>
        <w:t>Qualification never guessed: ambiguous client → the skill asks, and computes both dates meanwhile, highlighting the shorter one</w:t>
      </w:r>
    </w:p>
    <w:p>
      <w:pPr>
        <w:pStyle w:val="ListBullet"/>
        <w:spacing w:after="60"/>
      </w:pPr>
      <w:r>
        <w:rPr>
          <w:sz w:val="21"/>
        </w:rPr>
        <w:t>Heuristic stated as such: payments matched to invoices via normalized counterparty (case/accents), reference and amount — payments collected outside Qonto are invisible, the skill says so and asks</w:t>
      </w:r>
    </w:p>
    <w:p>
      <w:pPr>
        <w:pStyle w:val="ListBullet"/>
        <w:spacing w:after="60"/>
      </w:pPr>
      <w:r>
        <w:rPr>
          <w:sz w:val="21"/>
        </w:rPr>
        <w:t>Invoice paid but not updated → flagged, never modified · empty account → the skill says so and stops cleanly</w:t>
      </w:r>
    </w:p>
    <w:p>
      <w:pPr>
        <w:pStyle w:val="ListBullet"/>
        <w:spacing w:after="60"/>
      </w:pPr>
      <w:r>
        <w:rPr>
          <w:sz w:val="21"/>
        </w:rPr>
        <w:t>Pagination ≤ 50 everywhere · history windowed by quarter · masked IBANs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reads only, no dashed arrow (zero writes)</w:t>
      </w:r>
    </w:p>
    <w:p>
      <w:r>
        <w:rPr>
          <w:b/>
          <w:i w:val="0"/>
          <w:sz w:val="21"/>
        </w:rPr>
        <w:t>🔍 100% read-only — there is nothing to approve: the skill creates nothing, modifies nothing, moves nothing. The risk isn't in the tool, it's in the calendar: time is what acts here, not the skill. And the report is NOT legal advice — a lawyer validates before acting or writing off.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⚖️ Embedded limitation rules (France)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19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Situation</w:t>
            </w:r>
          </w:p>
        </w:tc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Period</w:t>
            </w:r>
          </w:p>
        </w:tc>
        <w:tc>
          <w:tcPr>
            <w:tcW w:type="dxa" w:w="351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Legal basis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keepNext/>
            </w:pPr>
            <w:r>
              <w:rPr>
                <w:b/>
                <w:sz w:val="19"/>
              </w:rPr>
              <w:t>Debt between businesses (or arising from the debtor's commercial activity)</w:t>
            </w:r>
          </w:p>
        </w:tc>
        <w:tc>
          <w:tcPr>
            <w:tcW w:type="dxa" w:w="1928"/>
          </w:tcPr>
          <w:p>
            <w:pPr>
              <w:keepNext/>
            </w:pPr>
            <w:r>
              <w:rPr>
                <w:sz w:val="19"/>
              </w:rPr>
              <w:t>5 years</w:t>
            </w:r>
          </w:p>
        </w:tc>
        <w:tc>
          <w:tcPr>
            <w:tcW w:type="dxa" w:w="3515"/>
          </w:tcPr>
          <w:p>
            <w:pPr>
              <w:keepNext/>
            </w:pPr>
            <w:r>
              <w:rPr>
                <w:sz w:val="19"/>
              </w:rPr>
              <w:t>art. L110-4 Commercial Code</w:t>
            </w:r>
          </w:p>
        </w:tc>
      </w:tr>
      <w:tr>
        <w:trPr>
          <w:cantSplit/>
        </w:trPr>
        <w:tc>
          <w:tcPr>
            <w:tcW w:type="dxa" w:w="4195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Professional against a consumer (private individual, non-professional purpose)</w:t>
            </w:r>
          </w:p>
        </w:tc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sz w:val="19"/>
              </w:rPr>
              <w:t>2 years</w:t>
            </w:r>
          </w:p>
        </w:tc>
        <w:tc>
          <w:tcPr>
            <w:tcW w:type="dxa" w:w="3515"/>
            <w:shd w:val="clear" w:fill="F1EDFF"/>
          </w:tcPr>
          <w:p>
            <w:pPr>
              <w:keepNext/>
            </w:pPr>
            <w:r>
              <w:rPr>
                <w:sz w:val="19"/>
              </w:rPr>
              <w:t>art. L218-2 Consumer Code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keepNext/>
            </w:pPr>
            <w:r>
              <w:rPr>
                <w:b/>
                <w:sz w:val="19"/>
              </w:rPr>
              <w:t>Starting point: day the creditor knew the facts — for an invoice, prudently the issue date</w:t>
            </w:r>
          </w:p>
        </w:tc>
        <w:tc>
          <w:tcPr>
            <w:tcW w:type="dxa" w:w="1928"/>
          </w:tcPr>
          <w:p>
            <w:pPr>
              <w:keepNext/>
            </w:pPr>
            <w:r>
              <w:rPr>
                <w:sz w:val="19"/>
              </w:rPr>
              <w:t>—</w:t>
            </w:r>
          </w:p>
        </w:tc>
        <w:tc>
          <w:tcPr>
            <w:tcW w:type="dxa" w:w="3515"/>
          </w:tcPr>
          <w:p>
            <w:pPr>
              <w:keepNext/>
            </w:pPr>
            <w:r>
              <w:rPr>
                <w:sz w:val="19"/>
              </w:rPr>
              <w:t>art. 2224 Civil Code</w:t>
            </w:r>
          </w:p>
        </w:tc>
      </w:tr>
      <w:tr>
        <w:trPr>
          <w:cantSplit/>
        </w:trPr>
        <w:tc>
          <w:tcPr>
            <w:tcW w:type="dxa" w:w="4195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Interruption → the clock fully restarts: acknowledgment of the debt (a partial payment counts as a tacit one), legal action, enforcement act</w:t>
            </w:r>
          </w:p>
        </w:tc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sz w:val="19"/>
              </w:rPr>
              <w:t>new full period (art. 2231)</w:t>
            </w:r>
          </w:p>
        </w:tc>
        <w:tc>
          <w:tcPr>
            <w:tcW w:type="dxa" w:w="3515"/>
            <w:shd w:val="clear" w:fill="F1EDFF"/>
          </w:tcPr>
          <w:p>
            <w:pPr>
              <w:keepNext/>
            </w:pPr>
            <w:r>
              <w:rPr>
                <w:sz w:val="19"/>
              </w:rPr>
              <w:t>art. 2240–2244 Civil Code</w:t>
            </w:r>
          </w:p>
        </w:tc>
      </w:tr>
      <w:tr>
        <w:trPr>
          <w:cantSplit/>
        </w:trPr>
        <w:tc>
          <w:tcPr>
            <w:tcW w:type="dxa" w:w="4195"/>
          </w:tcPr>
          <w:p>
            <w:r>
              <w:rPr>
                <w:b/>
                <w:sz w:val="19"/>
              </w:rPr>
              <w:t>⚠️ NOT interruptive: reminders, emails, even a registered dunning letter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  <w:t>settled case law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Worth knowing: limitation must be raised by the debtor — a judge won't apply it automatically (art. 2247). In practice, treat the date as the death of the claim; the skill itself never declares a receivable definitively dead… nor definitively alive.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tables: “act before…” schedule, totals at risk within 6/12 months, detected resets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Interactive timeline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HTML file/artifact: one bar per receivable (start → death date), today marker, color by urgency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When the host renders files; fallback to tables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“Probably time-barred” list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Separate section, never mixed with living receivables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Every scan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problem (receivables dying silently) → the scan and the schedule → the highlight: a detected partial payment resurrecting an invoice the user had written off → the final timeline and the pipeline with qonto-invoice-chaser. (Shooting script kept internal, outside the repository.)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🔗 Pipeline with other skills</w:t>
      </w:r>
    </w:p>
    <w:p>
      <w:r>
        <w:rPr>
          <w:b w:val="0"/>
          <w:i w:val="0"/>
          <w:sz w:val="21"/>
        </w:rPr>
        <w:t>qonto-invoice-chaser chases invoices amicably; qonto-prescription-guard tells you until when amicable chasing still makes sense — and when to go legal. Together: chase → sue → never let a receivable die. Structural reminder: chaser reminders do NOT interrupt the limitation period — one more reason to watch both.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Calendar reminders on “act before…” dates (calendar MCP detected dynamically)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Optional multi-MCP — activates if present, otherwise the skill says so and continues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 modules (DE: 3 years §195 BGB, ES, IT…)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Same engine, per-country period tables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Suspension tracking (mediation, art. 2238 Civil Code)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Declarative — refines the dates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Draft handoff letter for the bailiff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Text output, still zero MCP writes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Not legal advice — every report says so: prudent dates, validated by a lawyer or bailiff before acting or writing off</w:t>
      </w:r>
    </w:p>
    <w:p>
      <w:pPr>
        <w:pStyle w:val="ListBullet"/>
        <w:spacing w:after="60"/>
      </w:pPr>
      <w:r>
        <w:rPr>
          <w:sz w:val="21"/>
        </w:rPr>
        <w:t>Never certain on B2C: always an assumption to confirm (a sole trader buying for business → back to 5 years)</w:t>
      </w:r>
    </w:p>
    <w:p>
      <w:pPr>
        <w:pStyle w:val="ListBullet"/>
        <w:spacing w:after="60"/>
      </w:pPr>
      <w:r>
        <w:rPr>
          <w:sz w:val="21"/>
        </w:rPr>
        <w:t>Interruption detection announced as a heuristic: “partial payment detected on [date] → period probably reset — confirm with a lawyer”</w:t>
      </w:r>
    </w:p>
    <w:p>
      <w:pPr>
        <w:pStyle w:val="ListBullet"/>
        <w:spacing w:after="60"/>
      </w:pPr>
      <w:r>
        <w:rPr>
          <w:sz w:val="21"/>
        </w:rPr>
        <w:t>France only for legal dates; elsewhere → plain aging report, clearly labeled</w:t>
      </w:r>
    </w:p>
    <w:p>
      <w:pPr>
        <w:pStyle w:val="ListBullet"/>
        <w:spacing w:after="60"/>
      </w:pPr>
      <w:r>
        <w:rPr>
          <w:sz w:val="21"/>
        </w:rPr>
        <w:t>100% read-only · masked IBANs (last 4 digits) · pagination ≤ 50 everywhere</w:t>
      </w:r>
    </w:p>
    <w:p>
      <w:pPr>
        <w:pStyle w:val="ListBullet"/>
        <w:spacing w:after="60"/>
      </w:pPr>
      <w:r>
        <w:rPr>
          <w:sz w:val="21"/>
        </w:rPr>
        <w:t>All examples in the documentation are invented (INV-YYYY-NNN numbers, fictional amounts)</w:t>
      </w:r>
    </w:p>
    <w:p>
      <w:pPr>
        <w:spacing w:before="360"/>
        <w:jc w:val="center"/>
      </w:pPr>
      <w:r>
        <w:rPr>
          <w:color w:val="5A5670"/>
          <w:sz w:val="17"/>
        </w:rPr>
        <w:t>qonto-prescription-guard · English documentation · Qonto × Anthropic MCP Hackathon · July 2026 · PR deliverable: SKILL.md · French version: doc-qonto-prescription-guard.fr.docx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