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qonto-prescription-guard</w:t>
      </w:r>
    </w:p>
    <w:p>
      <w:pPr>
        <w:jc w:val="center"/>
      </w:pPr>
      <w:r>
        <w:rPr>
          <w:b/>
          <w:color w:val="1D1B29"/>
          <w:sz w:val="26"/>
        </w:rPr>
        <w:t>Chaque facture impayée a une date de mort légale — le skill la trouve, et te dit avant quand agir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100 % lecture — zéro écriture  ·  Règles FR embarquées, articles cités  ·  Pas un avis juridique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Une facture impayée ne meurt pas quand on l'oublie — elle meurt quand la prescription tombe : 5 ans entre commerçants (art. L110-4 C. com.), 2 ans contre un consommateur (art. L218-2 C. conso). Passé ce délai, plus aucune action en justice possible. Et le piège inverse existe : un paiement partiel vaut reconnaissance de dette et réinitialise le compteur — des créances qu'on croyait mortes sont peut-être encore vivantes. Le skill met une date de péremption sur chaque créance :</w:t>
      </w:r>
    </w:p>
    <w:p>
      <w:pPr>
        <w:pStyle w:val="ListBullet"/>
        <w:spacing w:after="60"/>
      </w:pPr>
      <w:r>
        <w:rPr>
          <w:sz w:val="21"/>
        </w:rPr>
        <w:t>1. Scan complet — toutes les factures clients impayées, sur tout l'historique (les vieilles factures sont précisément le sujet)</w:t>
      </w:r>
    </w:p>
    <w:p>
      <w:pPr>
        <w:pStyle w:val="ListBullet"/>
        <w:spacing w:after="60"/>
      </w:pPr>
      <w:r>
        <w:rPr>
          <w:sz w:val="21"/>
        </w:rPr>
        <w:t>2. Qualification B2B/B2C — SIREN ou n° de TVA sur la fiche client → commerçant probable (5 ans) ; sinon le skill demande, jamais de certitude affichée</w:t>
      </w:r>
    </w:p>
    <w:p>
      <w:pPr>
        <w:pStyle w:val="ListBullet"/>
        <w:spacing w:after="60"/>
      </w:pPr>
      <w:r>
        <w:rPr>
          <w:sz w:val="21"/>
        </w:rPr>
        <w:t>3. Actes interruptifs — paiement partiel repéré dans les transactions → « délai probablement réinitialisé le [date] — à confirmer avec un juriste » ; reconnaissance de dette ou action en justice déclarées par l'utilisateur</w:t>
      </w:r>
    </w:p>
    <w:p>
      <w:pPr>
        <w:pStyle w:val="ListBullet"/>
        <w:spacing w:after="60"/>
      </w:pPr>
      <w:r>
        <w:rPr>
          <w:sz w:val="21"/>
        </w:rPr>
        <w:t>4. Échéancier « agir avant le… » — date limite par créance, temps restant, tri urgence × montant : 🔴 &lt; 6 mois · 🟠 &lt; 12 mois · 🟡 &lt; 2 ans · ⚫ probablement prescrite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Règles de prescription : France uniquement. Autres pays Qonto (DE, ES, IT…) : rapport d'ancienneté des créances, sans qualification légale, jamais de règle inventée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Facturation clients dans Qonto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Le skill lit list_client_invoices — les factures émises hors Qonto ne sont pas vues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Fiches clients renseignées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SIREN / n° de TVA → qualification B2B automatique ; sinon le skill pose la question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Recommandé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(100 % lecture)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Règles embarquées en statique (aucune dépendance externe) : 5 ans L110-4 / 2 ans L218-2, point de départ prudent = date d'émission (art. 2224 C. civ.) — ne jamais surestimer le temps restant</w:t>
      </w:r>
    </w:p>
    <w:p>
      <w:pPr>
        <w:pStyle w:val="ListBullet"/>
        <w:spacing w:after="60"/>
      </w:pPr>
      <w:r>
        <w:rPr>
          <w:sz w:val="21"/>
        </w:rPr>
        <w:t>L'idée reçue n°1 corrigée : une lettre de relance, même recommandée, N'INTERROMPT PAS la prescription — seuls une reconnaissance de dette, un paiement partiel ou un acte judiciaire relancent le compteur (art. 2240-2244)</w:t>
      </w:r>
    </w:p>
    <w:p>
      <w:pPr>
        <w:pStyle w:val="ListBullet"/>
        <w:spacing w:after="60"/>
      </w:pPr>
      <w:r>
        <w:rPr>
          <w:sz w:val="21"/>
        </w:rPr>
        <w:t>Qualification jamais devinée : client ambigu → question posée, et les deux dates calculées en attendant, la plus courte en avant</w:t>
      </w:r>
    </w:p>
    <w:p>
      <w:pPr>
        <w:pStyle w:val="ListBullet"/>
        <w:spacing w:after="60"/>
      </w:pPr>
      <w:r>
        <w:rPr>
          <w:sz w:val="21"/>
        </w:rPr>
        <w:t>Heuristique annoncée comme telle : rapprochement paiements ↔ factures par tiers normalisé (casse/accents), référence et montant — les encaissements hors Qonto sont invisibles, le skill le dit et demande</w:t>
      </w:r>
    </w:p>
    <w:p>
      <w:pPr>
        <w:pStyle w:val="ListBullet"/>
        <w:spacing w:after="60"/>
      </w:pPr>
      <w:r>
        <w:rPr>
          <w:sz w:val="21"/>
        </w:rPr>
        <w:t>Facture payée mais non mise à jour → signalée, jamais modifiée · compte vide → le skill le dit et s'arrête proprement</w:t>
      </w:r>
    </w:p>
    <w:p>
      <w:pPr>
        <w:pStyle w:val="ListBullet"/>
        <w:spacing w:after="60"/>
      </w:pPr>
      <w:r>
        <w:rPr>
          <w:sz w:val="21"/>
        </w:rPr>
        <w:t>Pagination ≤ 50 partout · historique fenêtré par trimestres · IBAN masqués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seule, aucun trait pointillé (aucune écriture)</w:t>
      </w:r>
    </w:p>
    <w:p>
      <w:r>
        <w:rPr>
          <w:b/>
          <w:i w:val="0"/>
          <w:sz w:val="21"/>
        </w:rPr>
        <w:t>🔍 100 % lecture — il n'y a rien à approuver : le skill ne crée rien, ne modifie rien, ne déplace rien. Le risque n'est pas dans l'outil, il est dans le calendrier : c'est le temps qui agit, pas le skill. Et le rapport n'est PAS un avis juridique — un juriste valide avant d'agir ou de renoncer.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⚖️ Règles de prescription embarquées (France)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Délai</w:t>
            </w:r>
          </w:p>
        </w:tc>
        <w:tc>
          <w:tcPr>
            <w:tcW w:type="dxa" w:w="351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Base légale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keepNext/>
            </w:pPr>
            <w:r>
              <w:rPr>
                <w:b/>
                <w:sz w:val="19"/>
              </w:rPr>
              <w:t>Créance entre commerçants (ou née de l'activité commerciale du débiteur)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5 ans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art. L110-4 Code de commerce</w:t>
            </w:r>
          </w:p>
        </w:tc>
      </w:tr>
      <w:tr>
        <w:trPr>
          <w:cantSplit/>
        </w:trPr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Professionnel contre consommateur (particulier, usage non professionnel)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2 ans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art. L218-2 Code de la consommation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keepNext/>
            </w:pPr>
            <w:r>
              <w:rPr>
                <w:b/>
                <w:sz w:val="19"/>
              </w:rPr>
              <w:t>Point de départ : jour où le créancier a connu les faits — pour une facture, prudemment la date d'émission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—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art. 2224 Code civil</w:t>
            </w:r>
          </w:p>
        </w:tc>
      </w:tr>
      <w:tr>
        <w:trPr>
          <w:cantSplit/>
        </w:trPr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Interruption → le délai repart à zéro : reconnaissance de dette (un paiement partiel vaut reconnaissance tacite), demande en justice, exécution forcée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nouveau délai complet (art. 2231)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art. 2240-2244 Code civil</w:t>
            </w:r>
          </w:p>
        </w:tc>
      </w:tr>
      <w:tr>
        <w:trPr>
          <w:cantSplit/>
        </w:trPr>
        <w:tc>
          <w:tcPr>
            <w:tcW w:type="dxa" w:w="4195"/>
          </w:tcPr>
          <w:p>
            <w:r>
              <w:rPr>
                <w:b/>
                <w:sz w:val="19"/>
              </w:rPr>
              <w:t>⚠️ N'interrompt PAS : relances, emails, mise en demeure même recommandée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jurisprudence constante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À savoir : la prescription doit être soulevée par le débiteur — le juge ne l'applique pas d'office (art. 2247). En pratique, traiter la date comme la mort de la créance ; le skill, lui, ne déclare jamais une créance définitivement morte… ni définitivement vivante.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échéancier « agir avant le… », totaux à risque à 6/12 mois, réinitialisations détectées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Timeline interactive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une barre par créance (départ → date de mort), marqueur « aujourd'hui », couleur par urgence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Liste « probablement prescrites »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Section séparée, jamais mélangée aux créances vivantes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À chaque scan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problème (la mort silencieuse des créances) → le scan et l'échéancier → le moment fort : un paiement partiel détecté qui ressuscite une facture qu'on croyait morte → la timeline finale et le pipeline avec qonto-invoice-chaser.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🔗 Pipeline avec les autres skills</w:t>
      </w:r>
    </w:p>
    <w:p>
      <w:r>
        <w:rPr>
          <w:b w:val="0"/>
          <w:i w:val="0"/>
          <w:sz w:val="21"/>
        </w:rPr>
        <w:t>qonto-invoice-chaser relance à l'amiable ; qonto-prescription-guard dit jusqu'à quand la relance amiable a un sens et quand il faut passer au juridique. Ensemble : relancer → agir en justice → ne jamais laisser mourir une créance. Rappel structurant : les relances n'interrompent PAS la prescription — raison de plus pour surveiller les deux.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Rappels calendrier « agir avant le… » (MCP calendrier détecté dynamiquement)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Multi-MCP optionnel — s'active si présent, sinon le skill le dit et continue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Modules pays (DE : 3 ans §195 BGB, ES, IT…)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Même moteur, tables de délais par pays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Suivi des suspensions (médiation, art. 2238 C. civ.)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Déclaratif — affine les dates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Brouillon de courrier pour le commissaire de justice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Sortie texte, toujours 0 écriture MCP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Pas un avis juridique — chaque rapport le dit : dates prudentes, validation par un juriste ou un commissaire de justice avant d'agir ou de renoncer</w:t>
      </w:r>
    </w:p>
    <w:p>
      <w:pPr>
        <w:pStyle w:val="ListBullet"/>
        <w:spacing w:after="60"/>
      </w:pPr>
      <w:r>
        <w:rPr>
          <w:sz w:val="21"/>
        </w:rPr>
        <w:t>Jamais de certitude sur la qualification B2C : toujours une hypothèse à confirmer (un indépendant qui achète pour son activité → retour aux 5 ans)</w:t>
      </w:r>
    </w:p>
    <w:p>
      <w:pPr>
        <w:pStyle w:val="ListBullet"/>
        <w:spacing w:after="60"/>
      </w:pPr>
      <w:r>
        <w:rPr>
          <w:sz w:val="21"/>
        </w:rPr>
        <w:t>Heuristique des actes interruptifs annoncée comme telle : « paiement partiel détecté le [date] → délai probablement réinitialisé — à confirmer avec un juriste »</w:t>
      </w:r>
    </w:p>
    <w:p>
      <w:pPr>
        <w:pStyle w:val="ListBullet"/>
        <w:spacing w:after="60"/>
      </w:pPr>
      <w:r>
        <w:rPr>
          <w:sz w:val="21"/>
        </w:rPr>
        <w:t>France uniquement pour les dates légales ; ailleurs → ancienneté simple, annoncée clairement</w:t>
      </w:r>
    </w:p>
    <w:p>
      <w:pPr>
        <w:pStyle w:val="ListBullet"/>
        <w:spacing w:after="60"/>
      </w:pPr>
      <w:r>
        <w:rPr>
          <w:sz w:val="21"/>
        </w:rPr>
        <w:t>100 % lecture · IBAN masqués (4 derniers chiffres) · pagination ≤ 50 partout</w:t>
      </w:r>
    </w:p>
    <w:p>
      <w:pPr>
        <w:pStyle w:val="ListBullet"/>
        <w:spacing w:after="60"/>
      </w:pPr>
      <w:r>
        <w:rPr>
          <w:sz w:val="21"/>
        </w:rPr>
        <w:t>Tous les exemples de la documentation sont inventés (numéros INV-YYYY-NNN, montants fictifs)</w:t>
      </w:r>
    </w:p>
    <w:p>
      <w:pPr>
        <w:spacing w:before="360"/>
        <w:jc w:val="center"/>
      </w:pPr>
      <w:r>
        <w:rPr>
          <w:color w:val="5A5670"/>
          <w:sz w:val="17"/>
        </w:rPr>
        <w:t>qonto-prescription-guard · Documentation FR (pilotage) · Hackathon Qonto × Anthropic MCP · juillet 2026 · Livrable PR : SKILL.md · Version jury : doc-qonto-prescription-guard.en.docx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