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qonto-vat-return</w:t>
      </w:r>
    </w:p>
    <w:p>
      <w:pPr>
        <w:jc w:val="center"/>
      </w:pPr>
      <w:r>
        <w:rPr>
          <w:b/>
          <w:color w:val="1D1B29"/>
          <w:sz w:val="26"/>
        </w:rPr>
        <w:t>Ta CA3 case par case, prête à recopier — préparée depuis les données Qonto réelles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Skill #3  ·  0 écriture — lecture seule intégrale  ·  Aide à la préparation, PAS une déclaration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Chaque mois, la même corvée : reconstituer la TVA collectée et la TVA déductible, puis reporter les bons montants dans les bonnes cases sur impots.gouv.fr. Le skill fait le travail de préparation depuis le compte Qonto :</w:t>
      </w:r>
    </w:p>
    <w:p>
      <w:pPr>
        <w:pStyle w:val="ListBullet"/>
        <w:spacing w:after="60"/>
      </w:pPr>
      <w:r>
        <w:rPr>
          <w:sz w:val="21"/>
        </w:rPr>
        <w:t>1. TVA collectée par taux — bases et taxes 20 / 10 / 5,5 / 2,1 % → cases 08, 09, 9B, 11, ligne 16 ; sur les débits ou sur les encaissements selon le fait générateur détecté (vat_payment_condition « on_receipts » → la collecte suit les paiements reçus, matchés aux factures)</w:t>
      </w:r>
    </w:p>
    <w:p>
      <w:pPr>
        <w:pStyle w:val="ListBullet"/>
        <w:spacing w:after="60"/>
      </w:pPr>
      <w:r>
        <w:rPr>
          <w:sz w:val="21"/>
        </w:rPr>
        <w:t>2. TVA déductible — vat_amount des débits + factures fournisseurs dédupliquées, immobilisations (case 19) si détectables — annoncée comme plancher avec le compte des débits non renseignés</w:t>
      </w:r>
    </w:p>
    <w:p>
      <w:pPr>
        <w:pStyle w:val="ListBullet"/>
        <w:spacing w:after="60"/>
      </w:pPr>
      <w:r>
        <w:rPr>
          <w:sz w:val="21"/>
        </w:rPr>
        <w:t>3. TVA nette — ligne 28 à payer ou lignes 25/27 crédit à reporter, calcul au centime + arrondi à l'euro du formulaire</w:t>
      </w:r>
    </w:p>
    <w:p>
      <w:pPr>
        <w:pStyle w:val="ListBullet"/>
        <w:spacing w:after="60"/>
      </w:pPr>
      <w:r>
        <w:rPr>
          <w:sz w:val="21"/>
        </w:rPr>
        <w:t>4. Contrôles de cohérence — vs mois précédents, vs paiements DGFIP passés, vs relevés — chaque écart signalé ⚠️ avant de recopier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La CA3 est un formulaire français. Autres pays Qonto (DE, ES, IT…) : synthèse TVA générique, jamais de mapping vers des cases françaises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Détecté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Régime réel (CA3)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Le simplifié (CA12 + acomptes) est hors scope — détecté, annoncé, avec le rappel de sa suppression au 01/01/2027 (art. 38 LF 2025)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Détecté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Factures dans Qonto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Plus les factures clients/fournisseurs vivent dans Qonto, plus le tableau est précis ; sinon travail depuis les transactions, limites annoncées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Recommandé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Historique ≥ 6 mois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Nourrit la périodicité et les contrôles de cohérence ; en dessous, dégradation honnête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Optionnel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(0 écriture — lecture seule)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Fait générateur détecté, jamais demandé : « on_receipts » → la collecte suit les paiements reçus du mois, matchés aux factures (montant + contrepartie + référence) — le point que la plupart des outils ratent ; portefeuille mixte géré facture par facture</w:t>
      </w:r>
    </w:p>
    <w:p>
      <w:pPr>
        <w:pStyle w:val="ListBullet"/>
        <w:spacing w:after="60"/>
      </w:pPr>
      <w:r>
        <w:rPr>
          <w:sz w:val="21"/>
        </w:rPr>
        <w:t>Périodicité depuis l'historique DGFIP : débits mensuels → CA3 mensuelle ; trimestriels → CA3 trimestrielle (permise si TVA annuelle &lt; 4 000 €) ; acomptes juillet + décembre → simplifié, hors scope annoncé</w:t>
      </w:r>
    </w:p>
    <w:p>
      <w:pPr>
        <w:pStyle w:val="ListBullet"/>
        <w:spacing w:after="60"/>
      </w:pPr>
      <w:r>
        <w:rPr>
          <w:sz w:val="21"/>
        </w:rPr>
        <w:t>Débits sans info TVA → déductible en plancher, compte des non-renseignés affiché, aucun taux deviné</w:t>
      </w:r>
    </w:p>
    <w:p>
      <w:pPr>
        <w:pStyle w:val="ListBullet"/>
        <w:spacing w:after="60"/>
      </w:pPr>
      <w:r>
        <w:rPr>
          <w:sz w:val="21"/>
        </w:rPr>
        <w:t>Encaissements sans facture matchée → listés à part avec montants, jamais taxés ni ignorés en silence</w:t>
      </w:r>
    </w:p>
    <w:p>
      <w:pPr>
        <w:pStyle w:val="ListBullet"/>
        <w:spacing w:after="60"/>
      </w:pPr>
      <w:r>
        <w:rPr>
          <w:sz w:val="21"/>
        </w:rPr>
        <w:t>Autoliquidation (achats UE / imports) : contreparties étrangères → signalées « à vérifier avec l'expert-comptable », JAMAIS calculées en silence</w:t>
      </w:r>
    </w:p>
    <w:p>
      <w:pPr>
        <w:pStyle w:val="ListBullet"/>
        <w:spacing w:after="60"/>
      </w:pPr>
      <w:r>
        <w:rPr>
          <w:sz w:val="21"/>
        </w:rPr>
        <w:t>Avoirs déduits · délais carte (emitted_at vs settled_at) · pagination ≤ 50 · société non française ou compte vide : le skill dit ce qu'il peut et ne peut pas préparer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lecture seule intégrale, aucune écriture</w:t>
      </w:r>
    </w:p>
    <w:p>
      <w:r>
        <w:rPr>
          <w:b/>
          <w:i w:val="0"/>
          <w:sz w:val="21"/>
        </w:rPr>
        <w:t>🔒 Lecture seule intégrale : aucun outil d'écriture, aucune télétransmission. Le skill prépare, contrôle et justifie — il ne peut ni déclarer, ni payer, ni modifier. La seule action qui suit est celle de l'utilisateur : recopier les cases sur impots.gouv.fr, idéalement après validation par l'expert-comptable.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🧾 Les cases de la CA3 couvertes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9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Case / ligne</w:t>
            </w:r>
          </w:p>
        </w:tc>
        <w:tc>
          <w:tcPr>
            <w:tcW w:type="dxa" w:w="328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Libellé officiel</w:t>
            </w:r>
          </w:p>
        </w:tc>
        <w:tc>
          <w:tcPr>
            <w:tcW w:type="dxa" w:w="442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Comment le skill la remplit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01</w:t>
            </w:r>
          </w:p>
        </w:tc>
        <w:tc>
          <w:tcPr>
            <w:tcW w:type="dxa" w:w="3288"/>
          </w:tcPr>
          <w:p>
            <w:pPr>
              <w:keepNext/>
            </w:pPr>
            <w:r>
              <w:rPr>
                <w:sz w:val="19"/>
              </w:rPr>
              <w:t>Ventes, prestations de services (base HT)</w:t>
            </w:r>
          </w:p>
        </w:tc>
        <w:tc>
          <w:tcPr>
            <w:tcW w:type="dxa" w:w="4422"/>
          </w:tcPr>
          <w:p>
            <w:pPr>
              <w:keepNext/>
            </w:pPr>
            <w:r>
              <w:rPr>
                <w:sz w:val="19"/>
              </w:rPr>
              <w:t>Somme des bases taxées de la période (débits ou encaissements)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08 · 09 · 9B · 11</w:t>
            </w:r>
          </w:p>
        </w:tc>
        <w:tc>
          <w:tcPr>
            <w:tcW w:type="dxa" w:w="3288"/>
            <w:shd w:val="clear" w:fill="F1EDFF"/>
          </w:tcPr>
          <w:p>
            <w:pPr>
              <w:keepNext/>
            </w:pPr>
            <w:r>
              <w:rPr>
                <w:sz w:val="19"/>
              </w:rPr>
              <w:t>Base et taxe par taux 20 / 5,5 / 10 / 2,1 %</w:t>
            </w:r>
          </w:p>
        </w:tc>
        <w:tc>
          <w:tcPr>
            <w:tcW w:type="dxa" w:w="4422"/>
            <w:shd w:val="clear" w:fill="F1EDFF"/>
          </w:tcPr>
          <w:p>
            <w:pPr>
              <w:keepNext/>
            </w:pPr>
            <w:r>
              <w:rPr>
                <w:sz w:val="19"/>
              </w:rPr>
              <w:t>Ventilation TVA des factures (émises ou matchées aux paiements reçus), avoirs déduits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16</w:t>
            </w:r>
          </w:p>
        </w:tc>
        <w:tc>
          <w:tcPr>
            <w:tcW w:type="dxa" w:w="3288"/>
          </w:tcPr>
          <w:p>
            <w:pPr>
              <w:keepNext/>
            </w:pPr>
            <w:r>
              <w:rPr>
                <w:sz w:val="19"/>
              </w:rPr>
              <w:t>Total TVA brute due</w:t>
            </w:r>
          </w:p>
        </w:tc>
        <w:tc>
          <w:tcPr>
            <w:tcW w:type="dxa" w:w="4422"/>
          </w:tcPr>
          <w:p>
            <w:pPr>
              <w:keepNext/>
            </w:pPr>
            <w:r>
              <w:rPr>
                <w:sz w:val="19"/>
              </w:rPr>
              <w:t>Somme des taxes par taux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03 · 17 · A4/I</w:t>
            </w:r>
          </w:p>
        </w:tc>
        <w:tc>
          <w:tcPr>
            <w:tcW w:type="dxa" w:w="3288"/>
            <w:shd w:val="clear" w:fill="F1EDFF"/>
          </w:tcPr>
          <w:p>
            <w:pPr>
              <w:keepNext/>
            </w:pPr>
            <w:r>
              <w:rPr>
                <w:sz w:val="19"/>
              </w:rPr>
              <w:t>Acquisitions intracom · imports (autoliquidation)</w:t>
            </w:r>
          </w:p>
        </w:tc>
        <w:tc>
          <w:tcPr>
            <w:tcW w:type="dxa" w:w="4422"/>
            <w:shd w:val="clear" w:fill="F1EDFF"/>
          </w:tcPr>
          <w:p>
            <w:pPr>
              <w:keepNext/>
            </w:pPr>
            <w:r>
              <w:rPr>
                <w:sz w:val="19"/>
              </w:rPr>
              <w:t>Jamais calculées — transactions candidates signalées « à vérifier avec l'expert-comptable »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19</w:t>
            </w:r>
          </w:p>
        </w:tc>
        <w:tc>
          <w:tcPr>
            <w:tcW w:type="dxa" w:w="3288"/>
          </w:tcPr>
          <w:p>
            <w:pPr>
              <w:keepNext/>
            </w:pPr>
            <w:r>
              <w:rPr>
                <w:sz w:val="19"/>
              </w:rPr>
              <w:t>TVA déductible — immobilisations</w:t>
            </w:r>
          </w:p>
        </w:tc>
        <w:tc>
          <w:tcPr>
            <w:tcW w:type="dxa" w:w="4422"/>
          </w:tcPr>
          <w:p>
            <w:pPr>
              <w:keepNext/>
            </w:pPr>
            <w:r>
              <w:rPr>
                <w:sz w:val="19"/>
              </w:rPr>
              <w:t>Seulement si détectable (label, description fournisseur, achat d'équipement) ; sinon expliqué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20</w:t>
            </w:r>
          </w:p>
        </w:tc>
        <w:tc>
          <w:tcPr>
            <w:tcW w:type="dxa" w:w="3288"/>
            <w:shd w:val="clear" w:fill="F1EDFF"/>
          </w:tcPr>
          <w:p>
            <w:pPr>
              <w:keepNext/>
            </w:pPr>
            <w:r>
              <w:rPr>
                <w:sz w:val="19"/>
              </w:rPr>
              <w:t>TVA déductible — autres biens et services</w:t>
            </w:r>
          </w:p>
        </w:tc>
        <w:tc>
          <w:tcPr>
            <w:tcW w:type="dxa" w:w="4422"/>
            <w:shd w:val="clear" w:fill="F1EDFF"/>
          </w:tcPr>
          <w:p>
            <w:pPr>
              <w:keepNext/>
            </w:pPr>
            <w:r>
              <w:rPr>
                <w:sz w:val="19"/>
              </w:rPr>
              <w:t>vat_amount des débits + factures fournisseurs, dédupliqués — plancher annoncé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22</w:t>
            </w:r>
          </w:p>
        </w:tc>
        <w:tc>
          <w:tcPr>
            <w:tcW w:type="dxa" w:w="3288"/>
          </w:tcPr>
          <w:p>
            <w:pPr>
              <w:keepNext/>
            </w:pPr>
            <w:r>
              <w:rPr>
                <w:sz w:val="19"/>
              </w:rPr>
              <w:t>Report de crédit antérieur</w:t>
            </w:r>
          </w:p>
        </w:tc>
        <w:tc>
          <w:tcPr>
            <w:tcW w:type="dxa" w:w="4422"/>
          </w:tcPr>
          <w:p>
            <w:pPr>
              <w:keepNext/>
            </w:pPr>
            <w:r>
              <w:rPr>
                <w:sz w:val="19"/>
              </w:rPr>
              <w:t>Depuis la CA3 précédente (fournie ou inférée 🟡, à confirmer)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23</w:t>
            </w:r>
          </w:p>
        </w:tc>
        <w:tc>
          <w:tcPr>
            <w:tcW w:type="dxa" w:w="3288"/>
            <w:shd w:val="clear" w:fill="F1EDFF"/>
          </w:tcPr>
          <w:p>
            <w:pPr>
              <w:keepNext/>
            </w:pPr>
            <w:r>
              <w:rPr>
                <w:sz w:val="19"/>
              </w:rPr>
              <w:t>Total TVA déductible</w:t>
            </w:r>
          </w:p>
        </w:tc>
        <w:tc>
          <w:tcPr>
            <w:tcW w:type="dxa" w:w="4422"/>
            <w:shd w:val="clear" w:fill="F1EDFF"/>
          </w:tcPr>
          <w:p>
            <w:pPr>
              <w:keepNext/>
            </w:pPr>
            <w:r>
              <w:rPr>
                <w:sz w:val="19"/>
              </w:rPr>
              <w:t>19 + 20 + 21 + 22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25 · 27 (· 26)</w:t>
            </w:r>
          </w:p>
        </w:tc>
        <w:tc>
          <w:tcPr>
            <w:tcW w:type="dxa" w:w="3288"/>
          </w:tcPr>
          <w:p>
            <w:pPr>
              <w:keepNext/>
            </w:pPr>
            <w:r>
              <w:rPr>
                <w:sz w:val="19"/>
              </w:rPr>
              <w:t>Crédit de TVA · crédit à reporter (· remboursement)</w:t>
            </w:r>
          </w:p>
        </w:tc>
        <w:tc>
          <w:tcPr>
            <w:tcW w:type="dxa" w:w="4422"/>
          </w:tcPr>
          <w:p>
            <w:pPr>
              <w:keepNext/>
            </w:pPr>
            <w:r>
              <w:rPr>
                <w:sz w:val="19"/>
              </w:rPr>
              <w:t>Si déductible &gt; collectée ; remboursement = choix utilisateur/comptable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r>
              <w:rPr>
                <w:b/>
                <w:sz w:val="19"/>
              </w:rPr>
              <w:t>28 · 32</w:t>
            </w:r>
          </w:p>
        </w:tc>
        <w:tc>
          <w:tcPr>
            <w:tcW w:type="dxa" w:w="3288"/>
            <w:shd w:val="clear" w:fill="F1EDFF"/>
          </w:tcPr>
          <w:p>
            <w:r>
              <w:rPr>
                <w:sz w:val="19"/>
              </w:rPr>
              <w:t>TVA nette due · total à payer</w:t>
            </w:r>
          </w:p>
        </w:tc>
        <w:tc>
          <w:tcPr>
            <w:tcW w:type="dxa" w:w="4422"/>
            <w:shd w:val="clear" w:fill="F1EDFF"/>
          </w:tcPr>
          <w:p>
            <w:r>
              <w:rPr>
                <w:sz w:val="19"/>
              </w:rPr>
              <w:t>Si collectée &gt; déductible — au centime + arrondi à l'euro du formulaire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🧪 Contrôles de cohérence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Contrôle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Comparé à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TVA nette du mois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Médiane des paiements DGFIP passés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⚠️ si écart &gt; 30 % — expliqué (saisonnalité ? grosse facture ? données manquantes ?)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Bases et mix de taux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Mois / trimestres précédents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⚠️ sur changement de mix ou saut de base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Transactions analysées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Totaux des relevés (list_statements)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⚠️ si la période n'est pas couverte en entier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Encaissements (on_receipts)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Factures clients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Encaissements non matchés listés avec montants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Débits non renseignés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Compte + total → mention « plancher » sur la déductible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Tableau CA3 case par case (case → libellé → montant → justification) + contrôles ✅/⚠️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Toujours — c'est la base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Dashboard interactif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Fichier/artifact HTML : vue « formulaire », ventilation par taux, historique vs DGFIP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Si l'hôte affiche les fichiers ; repli sur tableaux sinon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Rien d'autre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Aucune télétransmission, aucune écriture Qonto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Jamais — c'est le design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la corvée mensuelle → détection du régime (encaissements !) → le tableau case par case → la TVA nette qui tombe au centime sur le calcul manuel du comptable → contrôles de cohérence + dashboard. Tournée en live sur un compte de production réel. (Script de tournage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Pré-contrôle des pièces : list_transaction_attachments sur les débits déduits, justificatifs manquants signalés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Renforce le dossier en cas de contrôle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Chaînage avec qonto-tax-pilot (skill #1) : la CA3 préparée alimente la provision du coffre fiscal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Même détection du fait générateur, partagée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Brouillon d'email à l'expert-comptable (MCP mail détecté dynamiquement)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Multi-MCP optionnel — le cœur reste 100 % Qonto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r>
              <w:rPr>
                <w:b/>
                <w:sz w:val="19"/>
              </w:rPr>
              <w:t>Modules TVA par pays (DE USt-VA, ES modelo 303, IT LIPE…)</w:t>
            </w:r>
          </w:p>
        </w:tc>
        <w:tc>
          <w:tcPr>
            <w:tcW w:type="dxa" w:w="1474"/>
            <w:shd w:val="clear" w:fill="F1EDFF"/>
          </w:tcPr>
          <w:p>
            <w:r>
              <w:rPr>
                <w:sz w:val="19"/>
              </w:rPr>
              <w:t>Moyen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Qonto est paneuropéen ; même moteur, autre mapping de cases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Aide à la préparation, PAS une déclaration : aucun outil d'écriture, aucune télétransmission — le skill ne peut rien déposer</w:t>
      </w:r>
    </w:p>
    <w:p>
      <w:pPr>
        <w:pStyle w:val="ListBullet"/>
        <w:spacing w:after="60"/>
      </w:pPr>
      <w:r>
        <w:rPr>
          <w:sz w:val="21"/>
        </w:rPr>
        <w:t>Validation expert-comptable recommandée dans chaque rapport — surtout autoliquidation, immobilisations et report de crédit</w:t>
      </w:r>
    </w:p>
    <w:p>
      <w:pPr>
        <w:pStyle w:val="ListBullet"/>
        <w:spacing w:after="60"/>
      </w:pPr>
      <w:r>
        <w:rPr>
          <w:sz w:val="21"/>
        </w:rPr>
        <w:t>Jamais d'invention : pas de cases françaises pour une société étrangère, pas de taux deviné sur un débit non renseigné, pas d'autoliquidation calculée en silence</w:t>
      </w:r>
    </w:p>
    <w:p>
      <w:pPr>
        <w:pStyle w:val="ListBullet"/>
        <w:spacing w:after="60"/>
      </w:pPr>
      <w:r>
        <w:rPr>
          <w:sz w:val="21"/>
        </w:rPr>
        <w:t>Déductible = plancher annoncé · encaissements non matchés listés · IBAN masqués (4 derniers chiffres) · pagination ≤ 50</w:t>
      </w:r>
    </w:p>
    <w:p>
      <w:pPr>
        <w:spacing w:before="360"/>
        <w:jc w:val="center"/>
      </w:pPr>
      <w:r>
        <w:rPr>
          <w:color w:val="5A5670"/>
          <w:sz w:val="17"/>
        </w:rPr>
        <w:t>qonto-vat-return · Documentation FR (pilotage) · Hackathon Qonto × Anthropic MCP · juillet 2026 · Livrable PR : SKILL.md · Version jury : doc-qonto-vat-return.en.docx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