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qonto-brand-shield</w:t>
      </w:r>
    </w:p>
    <w:p>
      <w:pPr>
        <w:jc w:val="center"/>
      </w:pPr>
      <w:r>
        <w:rPr>
          <w:b/>
          <w:color w:val="1D1B29"/>
          <w:sz w:val="26"/>
        </w:rPr>
        <w:t>Is the brand you're funding actually protected? — your Qonto account's brand exposure, in numbers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100% read-only — zero writes  ·  INPI · Nice classes suggested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Every month, the account pays for things that build a brand: a logo, domain names, ad campaigns, packaging. Meanwhile, nobody checks whether the name itself is protected. The skill does both:</w:t>
      </w:r>
    </w:p>
    <w:p>
      <w:pPr>
        <w:pStyle w:val="ListBullet"/>
        <w:spacing w:after="60"/>
      </w:pPr>
      <w:r>
        <w:rPr>
          <w:sz w:val="21"/>
        </w:rPr>
        <w:t>1. Investment total per brand — design/logo, domains, advertising, packaging, print, detected in real expenses: "you invested €X in brand [Name] over N months", every attachment tagged 🟢 evidenced · 🟡 assumed</w:t>
      </w:r>
    </w:p>
    <w:p>
      <w:pPr>
        <w:pStyle w:val="ListBullet"/>
        <w:spacing w:after="60"/>
      </w:pPr>
      <w:r>
        <w:rPr>
          <w:sz w:val="21"/>
        </w:rPr>
        <w:t>2. Intellectual-property cross-check — is the brand registered at INPI (the French trademark office)? By you? Do close marks exist in your Nice classes? Is the 10-year renewal approaching?</w:t>
      </w:r>
    </w:p>
    <w:p>
      <w:pPr>
        <w:pStyle w:val="ListBullet"/>
        <w:spacing w:after="60"/>
      </w:pPr>
      <w:r>
        <w:rPr>
          <w:sz w:val="21"/>
        </w:rPr>
        <w:t>3. Financial exposure — the "uncovered" investment: everything already spent on a name that nothing protects</w:t>
      </w:r>
    </w:p>
    <w:p>
      <w:pPr>
        <w:pStyle w:val="ListBullet"/>
        <w:spacing w:after="60"/>
      </w:pPr>
      <w:r>
        <w:rPr>
          <w:sz w:val="21"/>
        </w:rPr>
        <w:t>4. Pre-filing dossier — name, Nice classes suggested from real activity, indicative cost (~€190-270 for 1-3 classes), ready for inpi.fr</w:t>
      </w:r>
    </w:p>
    <w:p>
      <w:r>
        <w:rPr>
          <w:b/>
          <w:i w:val="0"/>
          <w:sz w:val="21"/>
        </w:rPr>
        <w:t>Would someone use this on a Monday morning? It's the check every founder postpones — one question, one number, one €190-270 decision.</w:t>
      </w:r>
    </w:p>
    <w:p>
      <w:r>
        <w:rPr>
          <w:b w:val="0"/>
          <w:i w:val="0"/>
          <w:sz w:val="21"/>
        </w:rPr>
        <w:t>Example (invented brand and amounts): "You spent €4,320 over 8 months on the brand Nordlys (logo €900, domains €120, ads €3,300). It is not registered. A close mark has existed in class 42 since 2021. Filing in 2 classes: ~€230 — about 5% of what's already invested, unprotected."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Registry: INPI = France. Other Qonto countries (DE, ES, IT…): the financial exposure stays valid everywhere; for the registry side, EUIPO is the lead — registry data is never invented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INPI access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data.inpi.fr API requires an account + an access request. Without it: pre-filled search link + guided manual check (~2 min). No scraping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≥ 12 months of history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24-36 months recommended — yearly cadences (domains) only show across full years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(100% read-only)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Normalized counterparties: case, accents, multiple spellings of the same vendor merged into one counterparty before any total</w:t>
      </w:r>
    </w:p>
    <w:p>
      <w:pPr>
        <w:pStyle w:val="ListBullet"/>
        <w:spacing w:after="60"/>
      </w:pPr>
      <w:r>
        <w:rPr>
          <w:sz w:val="21"/>
        </w:rPr>
        <w:t>Evidenced or assumed attachment: brand name extracted from documents (get_attachment) or from a domain → 🟢; otherwise main brand, tagged 🟡 — never presented as certain</w:t>
      </w:r>
    </w:p>
    <w:p>
      <w:pPr>
        <w:pStyle w:val="ListBullet"/>
        <w:spacing w:after="60"/>
      </w:pPr>
      <w:r>
        <w:rPr>
          <w:sz w:val="21"/>
        </w:rPr>
        <w:t>Registry never guessed: without INPI API access, pre-filled data.inpi.fr link + 2-minute checklist, and the skill only integrates what the user reports back — unverified lines stay "unverified"</w:t>
      </w:r>
    </w:p>
    <w:p>
      <w:pPr>
        <w:pStyle w:val="ListBullet"/>
        <w:spacing w:after="60"/>
      </w:pPr>
      <w:r>
        <w:rPr>
          <w:sz w:val="21"/>
        </w:rPr>
        <w:t>Short history: annual cadences (domain renewals) are detected over 24-36 months — the skill says what it can't see yet</w:t>
      </w:r>
    </w:p>
    <w:p>
      <w:pPr>
        <w:pStyle w:val="ListBullet"/>
        <w:spacing w:after="60"/>
      </w:pPr>
      <w:r>
        <w:rPr>
          <w:sz w:val="21"/>
        </w:rPr>
        <w:t>Empty account, non-French company, no design invoices: the skill says what it can and can't quantify, announces totals as floors</w:t>
      </w:r>
    </w:p>
    <w:p>
      <w:pPr>
        <w:pStyle w:val="ListBullet"/>
        <w:spacing w:after="60"/>
      </w:pPr>
      <w:r>
        <w:rPr>
          <w:sz w:val="21"/>
        </w:rPr>
        <w:t>Pagination ≤ 50 everywhere · list_supplier_invoices for clean supplier names · masked IBANs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100% read-only, no MCP write; the filing happens on inpi.fr, decided by the user</w:t>
      </w:r>
    </w:p>
    <w:p>
      <w:r>
        <w:rPr>
          <w:b/>
          <w:i w:val="0"/>
          <w:sz w:val="21"/>
        </w:rPr>
        <w:t>🔒 100% read-only: the skill creates no MCP write — no transfer, no invoice, nothing to approve. The only possible "action", the trademark filing, happens on inpi.fr, decided by the user, after human validation. Trademark similarity is an indicative alert, not legal advice — an IP professional is recommended.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💼 Detected spend buckets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Bucket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Signals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Example counterparties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Design &amp; identity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Labels: logo / branding / identity / brand guidelines / naming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Freelance platforms, agencies, independent designers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Domain names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Registrars, yearly cadence (cross-ref qonto-subscription-audit)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OVH, Gandi, Namecheap, GoDaddy, IONOS…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Advertising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Ad platforms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Google Ads, Meta, TikTok, LinkedIn…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Packaging &amp; print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Labels: print / packaging / labels / stickers</w:t>
            </w:r>
          </w:p>
        </w:tc>
        <w:tc>
          <w:tcPr>
            <w:tcW w:type="dxa" w:w="3288"/>
            <w:shd w:val="clear" w:fill="F1EDFF"/>
          </w:tcPr>
          <w:p>
            <w:r>
              <w:rPr>
                <w:sz w:val="19"/>
              </w:rPr>
              <w:t>Online printers, packaging suppliers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🏷 Nice classes &amp; INPI costs (indicative)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51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Activity detected in the account</w:t>
            </w:r>
          </w:p>
        </w:tc>
        <w:tc>
          <w:tcPr>
            <w:tcW w:type="dxa" w:w="453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Suggested classes (to validate)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SaaS / software services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42 (+9 for downloadable software)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Clothing / print-on-demand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Retail, advertising services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35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r>
              <w:rPr>
                <w:b/>
                <w:sz w:val="19"/>
              </w:rPr>
              <w:t>Education / content</w:t>
            </w:r>
          </w:p>
        </w:tc>
        <w:tc>
          <w:tcPr>
            <w:tcW w:type="dxa" w:w="4535"/>
            <w:shd w:val="clear" w:fill="F1EDFF"/>
          </w:tcPr>
          <w:p>
            <w:r>
              <w:rPr>
                <w:sz w:val="19"/>
              </w:rPr>
              <w:t>41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Indicative costs: filing €190 for the first class + €40 per extra class (~€190-270 for 1-3 classes) · renewal every 10 years (~€290 + €40/class) · source of truth: inpi.fr.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(investment per brand, status, exposure, alerts)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one-pager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exposure gauge, buckets, INPI status, dossier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Pre-filing dossier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Structured text: name, suggested classes, indicative cost, inpi.fr link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unprotected brand detected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per-brand investment total → the INPI check (the guided manual mode, shown honestly) → the exposure number + the pre-filing dossier. It runs live on a real production account. (Shooting script kept internal, out of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Dedicated INPI MCP (data.inpi.fr API integrated)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Removes the manual step; dynamically detected, the core works without it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EUIPO / WIPO extension (EU &amp; international marks)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is pan-European; same logic, other registries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Watch for new close filings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INPI opposition window is short (2 months after publication) — a timely alert matters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Automatic cross-reference with qonto-subscription-audit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Domains are already detected annual subscriptions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Renewal deadline pushed into qonto-tax-pilot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The 10-year renewal joins the dated-outflows schedule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100% read-only: no write tool, ever — filing stays a human decision on inpi.fr</w:t>
      </w:r>
    </w:p>
    <w:p>
      <w:pPr>
        <w:pStyle w:val="ListBullet"/>
        <w:spacing w:after="60"/>
      </w:pPr>
      <w:r>
        <w:rPr>
          <w:sz w:val="21"/>
        </w:rPr>
        <w:t>Trademark similarity = indicative alert, not legal analysis — an IP professional is recommended before any filing</w:t>
      </w:r>
    </w:p>
    <w:p>
      <w:pPr>
        <w:pStyle w:val="ListBullet"/>
        <w:spacing w:after="60"/>
      </w:pPr>
      <w:r>
        <w:rPr>
          <w:sz w:val="21"/>
        </w:rPr>
        <w:t>Nice classes are suggestions to validate; costs are indicative — the source of truth is inpi.fr</w:t>
      </w:r>
    </w:p>
    <w:p>
      <w:pPr>
        <w:pStyle w:val="ListBullet"/>
        <w:spacing w:after="60"/>
      </w:pPr>
      <w:r>
        <w:rPr>
          <w:sz w:val="21"/>
        </w:rPr>
        <w:t>Never a registry fact without a source (API or the user's check); no scraping</w:t>
      </w:r>
    </w:p>
    <w:p>
      <w:pPr>
        <w:pStyle w:val="ListBullet"/>
        <w:spacing w:after="60"/>
      </w:pPr>
      <w:r>
        <w:rPr>
          <w:sz w:val="21"/>
        </w:rPr>
        <w:t>Honest degradation (short history, empty account, non-FR country) · masked IBANs · pagination ≤ 50</w:t>
      </w:r>
    </w:p>
    <w:p>
      <w:pPr>
        <w:spacing w:before="360"/>
        <w:jc w:val="center"/>
      </w:pPr>
      <w:r>
        <w:rPr>
          <w:color w:val="5A5670"/>
          <w:sz w:val="17"/>
        </w:rPr>
        <w:t>qonto-brand-shield · English documentation · Qonto × Anthropic MCP Hackathon · July 2026 · PR deliverable: SKILL.md · French version: doc-qonto-brand-shield.fr.docx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