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qonto-brand-shield</w:t>
      </w:r>
    </w:p>
    <w:p>
      <w:pPr>
        <w:jc w:val="center"/>
      </w:pPr>
      <w:r>
        <w:rPr>
          <w:b/>
          <w:color w:val="1D1B29"/>
          <w:sz w:val="26"/>
        </w:rPr>
        <w:t>La marque que tu finances est-elle protégée ? — l'exposition de marque du compte Qonto, chiffrée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100 % lecture — zéro écriture  ·  INPI · classes de Nice suggérées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Chaque mois, le compte paie des dépenses qui construisent une marque : un logo, des noms de domaine, de la publicité, du packaging. Et pendant ce temps, personne ne vérifie si le nom lui-même est protégé. Le skill fait les deux :</w:t>
      </w:r>
    </w:p>
    <w:p>
      <w:pPr>
        <w:pStyle w:val="ListBullet"/>
        <w:spacing w:after="60"/>
      </w:pPr>
      <w:r>
        <w:rPr>
          <w:sz w:val="21"/>
        </w:rPr>
        <w:t>1. Cumul d'investissement par marque — design/logo, domaines, publicité, packaging, impression, détectés dans les dépenses réelles : « tu as investi X € sur [Marque] en N mois », chaque rattachement tagué 🟢 prouvé · 🟡 supposé</w:t>
      </w:r>
    </w:p>
    <w:p>
      <w:pPr>
        <w:pStyle w:val="ListBullet"/>
        <w:spacing w:after="60"/>
      </w:pPr>
      <w:r>
        <w:rPr>
          <w:sz w:val="21"/>
        </w:rPr>
        <w:t>2. Croisement propriété intellectuelle — la marque est-elle déposée à l'INPI ? Par toi ? Des marques proches existent-elles dans tes classes de Nice ? Le renouvellement des 10 ans approche-t-il ?</w:t>
      </w:r>
    </w:p>
    <w:p>
      <w:pPr>
        <w:pStyle w:val="ListBullet"/>
        <w:spacing w:after="60"/>
      </w:pPr>
      <w:r>
        <w:rPr>
          <w:sz w:val="21"/>
        </w:rPr>
        <w:t>3. Exposition financière — l'investissement « à découvert » : tout ce qui est déjà dépensé sur un nom que rien ne protège</w:t>
      </w:r>
    </w:p>
    <w:p>
      <w:pPr>
        <w:pStyle w:val="ListBullet"/>
        <w:spacing w:after="60"/>
      </w:pPr>
      <w:r>
        <w:rPr>
          <w:sz w:val="21"/>
        </w:rPr>
        <w:t>4. Dossier de pré-dépôt — nom, classes de Nice suggérées depuis l'activité réelle, coût indicatif (~190-270 € pour 1-3 classes), prêt pour inpi.fr</w:t>
      </w:r>
    </w:p>
    <w:p>
      <w:r>
        <w:rPr>
          <w:b w:val="0"/>
          <w:i w:val="0"/>
          <w:sz w:val="21"/>
        </w:rPr>
        <w:t>Exemple (chiffres et marque inventés) : « Tu as dépensé 4 320 € en 8 mois pour la marque Nordlys (logo 900 €, domaines 120 €, ads 3 300 €). Elle n'est pas déposée. Une marque proche existe en classe 42 depuis 2021. Dépôt en 2 classes : ~230 €, soit ~5 % de l'investissement déjà à découvert. »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Registre : INPI = France. Autres pays Qonto (DE, ES, IT…) : exposition financière valable partout ; côté registre, piste EUIPO — jamais de donnée de registre inventée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Accès INPI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L'API data.inpi.fr demande un compte + une demande d'accès. Sans lui : lien de recherche pré-rempli + vérification manuelle guidée (~2 min). Pas de scraping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Historique ≥ 12 mois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24-36 mois recommandés — les cadences annuelles (domaines) ne se voient que sur des années pleines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Tiers normalisés : casse, accents, graphies multiples du même fournisseur fusionnées en un seul tiers avant tout cumul</w:t>
      </w:r>
    </w:p>
    <w:p>
      <w:pPr>
        <w:pStyle w:val="ListBullet"/>
        <w:spacing w:after="60"/>
      </w:pPr>
      <w:r>
        <w:rPr>
          <w:sz w:val="21"/>
        </w:rPr>
        <w:t>Rattachement prouvé ou assumé : nom de marque extrait des justificatifs (get_attachment) ou du domaine → 🟢 ; sinon marque principale, tagué 🟡 — jamais présenté comme certain</w:t>
      </w:r>
    </w:p>
    <w:p>
      <w:pPr>
        <w:pStyle w:val="ListBullet"/>
        <w:spacing w:after="60"/>
      </w:pPr>
      <w:r>
        <w:rPr>
          <w:sz w:val="21"/>
        </w:rPr>
        <w:t>Registre jamais deviné : sans API INPI, lien pré-rempli data.inpi.fr + checklist 2 min, et le skill n'intègre que ce que l'utilisateur rapporte — les lignes non vérifiées restent « non vérifié »</w:t>
      </w:r>
    </w:p>
    <w:p>
      <w:pPr>
        <w:pStyle w:val="ListBullet"/>
        <w:spacing w:after="60"/>
      </w:pPr>
      <w:r>
        <w:rPr>
          <w:sz w:val="21"/>
        </w:rPr>
        <w:t>Historique court : les cadences annuelles (renouvellements de domaines) se détectent sur 24-36 mois — le skill dit ce qu'il ne peut pas encore voir</w:t>
      </w:r>
    </w:p>
    <w:p>
      <w:pPr>
        <w:pStyle w:val="ListBullet"/>
        <w:spacing w:after="60"/>
      </w:pPr>
      <w:r>
        <w:rPr>
          <w:sz w:val="21"/>
        </w:rPr>
        <w:t>Compte vide, société non française, aucune facture design : le skill explique ce qu'il peut et ne peut pas chiffrer, annonce les totaux comme des planchers</w:t>
      </w:r>
    </w:p>
    <w:p>
      <w:pPr>
        <w:pStyle w:val="ListBullet"/>
        <w:spacing w:after="60"/>
      </w:pPr>
      <w:r>
        <w:rPr>
          <w:sz w:val="21"/>
        </w:rPr>
        <w:t>Pagination ≤ 50 partout · list_supplier_invoices pour les noms fournisseurs propres · IBAN masqués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100 % lecture, aucune écriture MCP ; le dépôt se fait sur inpi.fr, par l'utilisateur</w:t>
      </w:r>
    </w:p>
    <w:p>
      <w:r>
        <w:rPr>
          <w:b/>
          <w:i w:val="0"/>
          <w:sz w:val="21"/>
        </w:rPr>
        <w:t>🔒 100 % lecture : le skill ne crée aucune écriture MCP — pas de virement, pas de facture, rien à approuver. Le seul « acte » possible, le dépôt de marque, se fait sur inpi.fr, par toi, après validation humaine. La similarité de marques est une alerte indicative, pas un avis juridique — conseil en PI recommandé.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💼 Postes de dépense détectés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Signaux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Exemples de tiers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Design &amp; identité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Libellés logo / branding / identité / charte graphique / naming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Plateformes freelance, agences, designers indépendants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Noms de domaine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Registrars, cadence annuelle (cross-réf. qonto-subscription-audit)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OVH, Gandi, Namecheap, GoDaddy, IONOS…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Publicité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Régies publicitaires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Google Ads, Meta, TikTok, LinkedIn…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Packaging &amp; impression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Libellés impression / packaging / étiquettes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Imprimeurs en ligne, fournisseurs packaging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🏷 Classes de Nice &amp; coûts INPI (indicatifs)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Activité détectée dans le compte</w:t>
            </w:r>
          </w:p>
        </w:tc>
        <w:tc>
          <w:tcPr>
            <w:tcW w:type="dxa" w:w="453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Classes suggérées (à valider)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SaaS / services logiciels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42 (+9 si logiciel téléchargeable)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Vêtements / print-on-demand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Vente au détail, services publicitaires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r>
              <w:rPr>
                <w:b/>
                <w:sz w:val="19"/>
              </w:rPr>
              <w:t>Formation / contenus</w:t>
            </w:r>
          </w:p>
        </w:tc>
        <w:tc>
          <w:tcPr>
            <w:tcW w:type="dxa" w:w="4535"/>
            <w:shd w:val="clear" w:fill="F1EDFF"/>
          </w:tcPr>
          <w:p>
            <w:r>
              <w:rPr>
                <w:sz w:val="19"/>
              </w:rPr>
              <w:t>41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Coûts indicatifs : dépôt 190 € la 1re classe + 40 €/classe supplémentaire (~190-270 € pour 1-3 classes) · renouvellement tous les 10 ans (~290 € + 40 €/classe) · source de vérité : inpi.fr.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(investissement par marque, statut, exposition, alertes)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One-pager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jauge d'exposition, postes, statut INPI, dossier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Dossier de pré-dépôt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Texte structuré : nom, classes suggérées, coût indicatif, lien inpi.fr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marque non protégée détectée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cumul d'investissement par marque → vérification INPI (mode manuel guidé montré honnêtement) → exposition chiffrée + dossier de pré-dépôt.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MCP INPI dédié (API data.inpi.fr intégrée)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Supprime l'étape manuelle ; détection dynamique, le cœur marche sans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Extension EUIPO / OMPI (marque UE &amp; internationale)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est paneuropéen ; même logique, autres registres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Veille des nouveaux dépôts proches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délai d'opposition INPI est court (2 mois après publication) — alerte utile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Croisement automatique qonto-subscription-audit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Les domaines sont déjà des abonnements annuels détectés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Échéance de renouvellement poussée dans qonto-tax-pilot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Le renouvellement rejoint l'échéancier des sorties datées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100 % lecture : aucun outil d'écriture, jamais — le dépôt reste une décision humaine sur inpi.fr</w:t>
      </w:r>
    </w:p>
    <w:p>
      <w:pPr>
        <w:pStyle w:val="ListBullet"/>
        <w:spacing w:after="60"/>
      </w:pPr>
      <w:r>
        <w:rPr>
          <w:sz w:val="21"/>
        </w:rPr>
        <w:t>Similarité de marques = alerte indicative, pas une analyse juridique — conseil en PI recommandé avant tout dépôt</w:t>
      </w:r>
    </w:p>
    <w:p>
      <w:pPr>
        <w:pStyle w:val="ListBullet"/>
        <w:spacing w:after="60"/>
      </w:pPr>
      <w:r>
        <w:rPr>
          <w:sz w:val="21"/>
        </w:rPr>
        <w:t>Classes de Nice suggérées, à valider ; coûts indicatifs — la source de vérité est inpi.fr</w:t>
      </w:r>
    </w:p>
    <w:p>
      <w:pPr>
        <w:pStyle w:val="ListBullet"/>
        <w:spacing w:after="60"/>
      </w:pPr>
      <w:r>
        <w:rPr>
          <w:sz w:val="21"/>
        </w:rPr>
        <w:t>Jamais de fait de registre sans source (API ou vérification de l'utilisateur) ; pas de scraping</w:t>
      </w:r>
    </w:p>
    <w:p>
      <w:pPr>
        <w:pStyle w:val="ListBullet"/>
        <w:spacing w:after="60"/>
      </w:pPr>
      <w:r>
        <w:rPr>
          <w:sz w:val="21"/>
        </w:rPr>
        <w:t>Dégradation honnête (historique court, compte vide, pays ≠ FR) · IBAN masqués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qonto-brand-shield · Documentation FR (pilotage) · Hackathon Qonto × Anthropic MCP · juillet 2026 · Livrable PR : SKILL.md · Version jury : doc-qonto-brand-shield.en.docx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