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rFonts w:ascii="Menlo" w:hAnsi="Menlo"/>
          <w:b/>
          <w:color w:val="6B4EFF"/>
          <w:sz w:val="60"/>
        </w:rPr>
        <w:t>qonto-injonction</w:t>
      </w:r>
    </w:p>
    <w:p>
      <w:pPr>
        <w:jc w:val="center"/>
      </w:pPr>
      <w:r>
        <w:rPr>
          <w:b/>
          <w:color w:val="1D1B29"/>
          <w:sz w:val="26"/>
        </w:rPr>
        <w:t>When reminders stop working — a French payment-order court file, ready to sign</w:t>
      </w:r>
    </w:p>
    <w:p>
      <w:pPr>
        <w:spacing w:after="280"/>
        <w:jc w:val="center"/>
      </w:pPr>
      <w:r>
        <w:rPr>
          <w:color w:val="5A5670"/>
          <w:sz w:val="19"/>
        </w:rPr>
        <w:t>Qonto × Anthropic MCP Hackathon  ·  Pre-filled CERFA 12946  ·  BODACC checked first  ·  Zero writes, by design</w:t>
      </w:r>
    </w:p>
    <w:p>
      <w:pPr>
        <w:pBdr>
          <w:bottom w:val="single" w:sz="24" w:color="6B4EFF"/>
        </w:pBdr>
        <w:spacing w:after="200"/>
      </w:pPr>
    </w:p>
    <w:p>
      <w:pPr>
        <w:keepNext/>
        <w:spacing w:before="320" w:after="120"/>
      </w:pPr>
      <w:r>
        <w:rPr>
          <w:b/>
          <w:color w:val="4A30D9"/>
          <w:sz w:val="32"/>
        </w:rPr>
        <w:t>🎯 Why this matters</w:t>
      </w:r>
    </w:p>
    <w:p>
      <w:r>
        <w:rPr>
          <w:b w:val="0"/>
          <w:i w:val="0"/>
          <w:sz w:val="21"/>
        </w:rPr>
        <w:t>Reminders failed (see qonto-invoice-chaser), the formal notice went unanswered. The French payment-order procedure costs ~€35 and needs no lawyer — yet almost nobody dares: an intimidating form, interest to compute, the right court to find. Most founders just write the invoice off. The skill builds the whole file from the Qonto account:</w:t>
      </w:r>
    </w:p>
    <w:p>
      <w:pPr>
        <w:pStyle w:val="ListBullet"/>
        <w:spacing w:after="60"/>
      </w:pPr>
      <w:r>
        <w:rPr>
          <w:sz w:val="21"/>
        </w:rPr>
        <w:t>1. BODACC check first (public API, no key) — debtor in collective proceedings → NO injunction: the skill reorients to a proof of claim (2-month deadline) and drafts it</w:t>
      </w:r>
    </w:p>
    <w:p>
      <w:pPr>
        <w:pStyle w:val="ListBullet"/>
        <w:spacing w:after="60"/>
      </w:pPr>
      <w:r>
        <w:rPr>
          <w:sz w:val="21"/>
        </w:rPr>
        <w:t>2. The claim, computed to the day — principal (payments on account deducted), late-payment interest (ECB + 10 pts, floor 3× the French legal rate — art. L441-10), the €40 recovery indemnity (art. D441-5), formula shown</w:t>
      </w:r>
    </w:p>
    <w:p>
      <w:pPr>
        <w:pStyle w:val="ListBullet"/>
        <w:spacing w:after="60"/>
      </w:pPr>
      <w:r>
        <w:rPr>
          <w:sz w:val="21"/>
        </w:rPr>
        <w:t>3. CERFA 12946 pre-filled field by field + a numbered exhibit list (invoice, reminders, formal notice — pulled from Qonto receipts) + the competent commercial court identified from the debtor's registered office</w:t>
      </w:r>
    </w:p>
    <w:p>
      <w:pPr>
        <w:pStyle w:val="ListBullet"/>
        <w:spacing w:after="60"/>
      </w:pPr>
      <w:r>
        <w:rPr>
          <w:sz w:val="21"/>
        </w:rPr>
        <w:t>4. Infogreffe filing guide — online filing ~€35, exhibits as PDF &lt; 2 MB, and what happens next: order → service → 1-month opposition window</w:t>
      </w:r>
    </w:p>
    <w:p>
      <w:r>
        <w:rPr>
          <w:b/>
          <w:i w:val="0"/>
          <w:sz w:val="21"/>
        </w:rPr>
        <w:t>Would someone use this on a Monday morning? It's the Monday you finally stop waiting for that invoice.</w:t>
      </w:r>
    </w:p>
    <w:p>
      <w:pPr>
        <w:keepNext/>
        <w:spacing w:before="320" w:after="120"/>
      </w:pPr>
      <w:r>
        <w:rPr>
          <w:b/>
          <w:color w:val="4A30D9"/>
          <w:sz w:val="32"/>
        </w:rPr>
        <w:t>📋 Prerequisites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cantSplit/>
        </w:trPr>
        <w:tc>
          <w:tcPr>
            <w:tcW w:type="dxa" w:w="2381"/>
            <w:shd w:val="clear" w:fill="6B4EFF"/>
          </w:tcPr>
          <w:p>
            <w:pPr>
              <w:keepNext/>
            </w:pPr>
            <w:r>
              <w:rPr>
                <w:b/>
                <w:color w:val="FFFFFF"/>
                <w:sz w:val="19"/>
              </w:rPr>
              <w:t>Prerequisite</w:t>
            </w:r>
          </w:p>
        </w:tc>
        <w:tc>
          <w:tcPr>
            <w:tcW w:type="dxa" w:w="5443"/>
            <w:shd w:val="clear" w:fill="6B4EFF"/>
          </w:tcPr>
          <w:p>
            <w:pPr>
              <w:keepNext/>
            </w:pPr>
            <w:r>
              <w:rPr>
                <w:b/>
                <w:color w:val="FFFFFF"/>
                <w:sz w:val="19"/>
              </w:rPr>
              <w:t>Detail</w:t>
            </w:r>
          </w:p>
        </w:tc>
        <w:tc>
          <w:tcPr>
            <w:tcW w:type="dxa" w:w="1814"/>
            <w:shd w:val="clear" w:fill="6B4EFF"/>
          </w:tcPr>
          <w:p>
            <w:pPr>
              <w:keepNext/>
            </w:pPr>
            <w:r>
              <w:rPr>
                <w:b/>
                <w:color w:val="FFFFFF"/>
                <w:sz w:val="19"/>
              </w:rPr>
              <w:t>Required</w:t>
            </w:r>
          </w:p>
        </w:tc>
      </w:tr>
      <w:tr>
        <w:trPr>
          <w:cantSplit/>
        </w:trPr>
        <w:tc>
          <w:tcPr>
            <w:tcW w:type="dxa" w:w="2381"/>
          </w:tcPr>
          <w:p>
            <w:pPr>
              <w:keepNext/>
            </w:pPr>
            <w:r>
              <w:rPr>
                <w:b/>
                <w:sz w:val="19"/>
              </w:rPr>
              <w:t>Qonto production account</w:t>
            </w:r>
          </w:p>
        </w:tc>
        <w:tc>
          <w:tcPr>
            <w:tcW w:type="dxa" w:w="5443"/>
          </w:tcPr>
          <w:p>
            <w:pPr>
              <w:keepNext/>
            </w:pPr>
            <w:r>
              <w:rPr>
                <w:sz w:val="19"/>
              </w:rPr>
              <w:t>Adapts to any organization — get_organization first, nothing hardcoded</w:t>
            </w:r>
          </w:p>
        </w:tc>
        <w:tc>
          <w:tcPr>
            <w:tcW w:type="dxa" w:w="1814"/>
          </w:tcPr>
          <w:p>
            <w:pPr>
              <w:keepNext/>
            </w:pPr>
            <w:r>
              <w:rPr>
                <w:sz w:val="19"/>
              </w:rPr>
              <w:t>✅ Yes</w:t>
            </w:r>
          </w:p>
        </w:tc>
      </w:tr>
      <w:tr>
        <w:trPr>
          <w:cantSplit/>
        </w:trPr>
        <w:tc>
          <w:tcPr>
            <w:tcW w:type="dxa" w:w="2381"/>
            <w:shd w:val="clear" w:fill="F1EDFF"/>
          </w:tcPr>
          <w:p>
            <w:pPr>
              <w:keepNext/>
            </w:pPr>
            <w:r>
              <w:rPr>
                <w:b/>
                <w:sz w:val="19"/>
              </w:rPr>
              <w:t>Country</w:t>
            </w:r>
          </w:p>
        </w:tc>
        <w:tc>
          <w:tcPr>
            <w:tcW w:type="dxa" w:w="5443"/>
            <w:shd w:val="clear" w:fill="F1EDFF"/>
          </w:tcPr>
          <w:p>
            <w:pPr>
              <w:keepNext/>
            </w:pPr>
            <w:r>
              <w:rPr>
                <w:sz w:val="19"/>
              </w:rPr>
              <w:t>CERFA procedure: France. Other Qonto countries (DE, ES, IT…): full factual dossier but no form — foreign forms or rates are never invented</w:t>
            </w:r>
          </w:p>
        </w:tc>
        <w:tc>
          <w:tcPr>
            <w:tcW w:type="dxa" w:w="1814"/>
            <w:shd w:val="clear" w:fill="F1EDFF"/>
          </w:tcPr>
          <w:p>
            <w:pPr>
              <w:keepNext/>
            </w:pPr>
            <w:r>
              <w:rPr>
                <w:sz w:val="19"/>
              </w:rPr>
              <w:t>ℹ️ Detected</w:t>
            </w:r>
          </w:p>
        </w:tc>
      </w:tr>
      <w:tr>
        <w:trPr>
          <w:cantSplit/>
        </w:trPr>
        <w:tc>
          <w:tcPr>
            <w:tcW w:type="dxa" w:w="2381"/>
          </w:tcPr>
          <w:p>
            <w:pPr>
              <w:keepNext/>
            </w:pPr>
            <w:r>
              <w:rPr>
                <w:b/>
                <w:sz w:val="19"/>
              </w:rPr>
              <w:t>Qonto MCP connected</w:t>
            </w:r>
          </w:p>
        </w:tc>
        <w:tc>
          <w:tcPr>
            <w:tcW w:type="dxa" w:w="5443"/>
          </w:tcPr>
          <w:p>
            <w:pPr>
              <w:keepNext/>
            </w:pPr>
            <w:r>
              <w:rPr>
                <w:sz w:val="19"/>
              </w:rPr>
              <w:t>Official connector (claude.ai / Claude Desktop), OAuth login</w:t>
            </w:r>
          </w:p>
        </w:tc>
        <w:tc>
          <w:tcPr>
            <w:tcW w:type="dxa" w:w="1814"/>
          </w:tcPr>
          <w:p>
            <w:pPr>
              <w:keepNext/>
            </w:pPr>
            <w:r>
              <w:rPr>
                <w:sz w:val="19"/>
              </w:rPr>
              <w:t>✅ Yes</w:t>
            </w:r>
          </w:p>
        </w:tc>
      </w:tr>
      <w:tr>
        <w:trPr>
          <w:cantSplit/>
        </w:trPr>
        <w:tc>
          <w:tcPr>
            <w:tcW w:type="dxa" w:w="2381"/>
            <w:shd w:val="clear" w:fill="F1EDFF"/>
          </w:tcPr>
          <w:p>
            <w:pPr>
              <w:keepNext/>
            </w:pPr>
            <w:r>
              <w:rPr>
                <w:b/>
                <w:sz w:val="19"/>
              </w:rPr>
              <w:t>Web access (public APIs, no key)</w:t>
            </w:r>
          </w:p>
        </w:tc>
        <w:tc>
          <w:tcPr>
            <w:tcW w:type="dxa" w:w="5443"/>
            <w:shd w:val="clear" w:fill="F1EDFF"/>
          </w:tcPr>
          <w:p>
            <w:pPr>
              <w:keepNext/>
            </w:pPr>
            <w:r>
              <w:rPr>
                <w:sz w:val="19"/>
              </w:rPr>
              <w:t>BODACC + the French company registry. Without web access the skill asks for the two missing facts instead of guessing</w:t>
            </w:r>
          </w:p>
        </w:tc>
        <w:tc>
          <w:tcPr>
            <w:tcW w:type="dxa" w:w="1814"/>
            <w:shd w:val="clear" w:fill="F1EDFF"/>
          </w:tcPr>
          <w:p>
            <w:pPr>
              <w:keepNext/>
            </w:pPr>
            <w:r>
              <w:rPr>
                <w:sz w:val="19"/>
              </w:rPr>
              <w:t>⭕ Recommended</w:t>
            </w:r>
          </w:p>
        </w:tc>
      </w:tr>
      <w:tr>
        <w:trPr>
          <w:cantSplit/>
        </w:trPr>
        <w:tc>
          <w:tcPr>
            <w:tcW w:type="dxa" w:w="2381"/>
          </w:tcPr>
          <w:p>
            <w:pPr>
              <w:keepNext/>
            </w:pPr>
            <w:r>
              <w:rPr>
                <w:b/>
                <w:sz w:val="19"/>
              </w:rPr>
              <w:t>Amicable stage done</w:t>
            </w:r>
          </w:p>
        </w:tc>
        <w:tc>
          <w:tcPr>
            <w:tcW w:type="dxa" w:w="5443"/>
          </w:tcPr>
          <w:p>
            <w:pPr>
              <w:keepNext/>
            </w:pPr>
            <w:r>
              <w:rPr>
                <w:sz w:val="19"/>
              </w:rPr>
              <w:t>Formal notice already sent (registered mail) — otherwise the skill points to qonto-invoice-chaser first</w:t>
            </w:r>
          </w:p>
        </w:tc>
        <w:tc>
          <w:tcPr>
            <w:tcW w:type="dxa" w:w="1814"/>
          </w:tcPr>
          <w:p>
            <w:pPr>
              <w:keepNext/>
            </w:pPr>
            <w:r>
              <w:rPr>
                <w:sz w:val="19"/>
              </w:rPr>
              <w:t>⭕ Advised</w:t>
            </w:r>
          </w:p>
        </w:tc>
      </w:tr>
      <w:tr>
        <w:trPr>
          <w:cantSplit/>
        </w:trPr>
        <w:tc>
          <w:tcPr>
            <w:tcW w:type="dxa" w:w="2381"/>
            <w:shd w:val="clear" w:fill="F1EDFF"/>
          </w:tcPr>
          <w:p>
            <w:r>
              <w:rPr>
                <w:b/>
                <w:sz w:val="19"/>
              </w:rPr>
              <w:t>Debtor's SIREN</w:t>
            </w:r>
          </w:p>
        </w:tc>
        <w:tc>
          <w:tcPr>
            <w:tcW w:type="dxa" w:w="5443"/>
            <w:shd w:val="clear" w:fill="F1EDFF"/>
          </w:tcPr>
          <w:p>
            <w:r>
              <w:rPr>
                <w:sz w:val="19"/>
              </w:rPr>
              <w:t>From the Qonto client record; otherwise looked up by name + city and confirmed by the user (homonyms)</w:t>
            </w:r>
          </w:p>
        </w:tc>
        <w:tc>
          <w:tcPr>
            <w:tcW w:type="dxa" w:w="1814"/>
            <w:shd w:val="clear" w:fill="F1EDFF"/>
          </w:tcPr>
          <w:p>
            <w:r>
              <w:rPr>
                <w:sz w:val="19"/>
              </w:rPr>
              <w:t>⭕ Optional</w:t>
            </w:r>
          </w:p>
        </w:tc>
      </w:tr>
    </w:tbl>
    <w:p>
      <w:pPr>
        <w:spacing w:after="40"/>
      </w:pPr>
    </w:p>
    <w:p>
      <w:pPr>
        <w:keepNext/>
        <w:spacing w:before="320" w:after="120"/>
      </w:pPr>
      <w:r>
        <w:rPr>
          <w:b/>
          <w:color w:val="4A30D9"/>
          <w:sz w:val="32"/>
        </w:rPr>
        <w:t>⚙️ How it works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6120000" cy="327103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low.en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327103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color w:val="5A5670"/>
          <w:sz w:val="17"/>
        </w:rPr>
        <w:t>Diagram 1 — How it works, 6 steps (zero writes)</w:t>
      </w:r>
    </w:p>
    <w:p>
      <w:pPr>
        <w:keepNext/>
        <w:spacing w:before="200" w:after="120"/>
      </w:pPr>
      <w:r>
        <w:rPr>
          <w:b/>
          <w:color w:val="6B4EFF"/>
          <w:sz w:val="25"/>
        </w:rPr>
        <w:t>Holds up on messy data</w:t>
      </w:r>
    </w:p>
    <w:p>
      <w:pPr>
        <w:pStyle w:val="ListBullet"/>
        <w:spacing w:after="60"/>
      </w:pPr>
      <w:r>
        <w:rPr>
          <w:sz w:val="21"/>
        </w:rPr>
        <w:t>The invoice might already be paid: credit-side scan since the issue date — an unreconciled transfer is caught, the skill stops and proposes reconciliation instead of a lawsuit</w:t>
      </w:r>
    </w:p>
    <w:p>
      <w:pPr>
        <w:pStyle w:val="ListBullet"/>
        <w:spacing w:after="60"/>
      </w:pPr>
      <w:r>
        <w:rPr>
          <w:sz w:val="21"/>
        </w:rPr>
        <w:t>Partial payments: detected, listed as exhibits and deducted from the principal — only the balance is claimed</w:t>
      </w:r>
    </w:p>
    <w:p>
      <w:pPr>
        <w:pStyle w:val="ListBullet"/>
        <w:spacing w:after="60"/>
      </w:pPr>
      <w:r>
        <w:rPr>
          <w:sz w:val="21"/>
        </w:rPr>
        <w:t>No SIREN on the client record: registry lookup by name + city, match confirmed by the user (homonyms) — never assumed</w:t>
      </w:r>
    </w:p>
    <w:p>
      <w:pPr>
        <w:pStyle w:val="ListBullet"/>
        <w:spacing w:after="60"/>
      </w:pPr>
      <w:r>
        <w:rPr>
          <w:sz w:val="21"/>
        </w:rPr>
        <w:t>Debtor in liquidation: automatic switch to the proof of claim, with its 2-month deadline stated (art. L622-24)</w:t>
      </w:r>
    </w:p>
    <w:p>
      <w:pPr>
        <w:pStyle w:val="ListBullet"/>
        <w:spacing w:after="60"/>
      </w:pPr>
      <w:r>
        <w:rPr>
          <w:sz w:val="21"/>
        </w:rPr>
        <w:t>Receipt missing from Qonto: listed as “to provide” in the exhibit list — never invented</w:t>
      </w:r>
    </w:p>
    <w:p>
      <w:pPr>
        <w:pStyle w:val="ListBullet"/>
        <w:spacing w:after="60"/>
      </w:pPr>
      <w:r>
        <w:rPr>
          <w:sz w:val="21"/>
        </w:rPr>
        <w:t>Disputed claim or limitation risk (5 years, art. L110-4): flagged, never silenced — see qonto-prescription-guard</w:t>
      </w:r>
    </w:p>
    <w:p>
      <w:pPr>
        <w:pStyle w:val="ListBullet"/>
        <w:spacing w:after="60"/>
      </w:pPr>
      <w:r>
        <w:rPr>
          <w:sz w:val="21"/>
        </w:rPr>
        <w:t>No web access, foreign debtor, empty account: the skill says what it can and can't build · pagination ≤ 50 everywhere</w:t>
      </w:r>
    </w:p>
    <w:p>
      <w:r>
        <w:br w:type="page"/>
      </w:r>
    </w:p>
    <w:p>
      <w:pPr>
        <w:keepNext/>
        <w:spacing w:before="320" w:after="120"/>
      </w:pPr>
      <w:r>
        <w:rPr>
          <w:b/>
          <w:color w:val="4A30D9"/>
          <w:sz w:val="32"/>
        </w:rPr>
        <w:t>🏗 Functional diagram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6120000" cy="3376552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unctional.en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337655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color w:val="5A5670"/>
          <w:sz w:val="17"/>
        </w:rPr>
        <w:t>Diagram 2 — Actors and flows: Qonto + 2 public APIs, read-only, zero writes</w:t>
      </w:r>
    </w:p>
    <w:p>
      <w:r>
        <w:rPr>
          <w:b/>
          <w:i w:val="0"/>
          <w:sz w:val="21"/>
        </w:rPr>
        <w:t>🔒 Zero writes, by design: the skill reads Qonto and two keyless public APIs, computes, assembles — and stops at a ready-to-sign dossier. Nothing is filed, nothing is served, nothing is signed. Filing on Infogreffe is the user, with their own signature. No legal act is ever executed by an AI.</w:t>
      </w:r>
    </w:p>
    <w:p>
      <w:pPr>
        <w:keepNext/>
        <w:spacing w:before="320" w:after="120"/>
      </w:pPr>
      <w:r>
        <w:rPr>
          <w:b/>
          <w:color w:val="4A30D9"/>
          <w:sz w:val="32"/>
        </w:rPr>
        <w:t>⚖️ Two routes, picked automatically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rPr>
          <w:cantSplit/>
        </w:trPr>
        <w:tc>
          <w:tcPr>
            <w:tcW w:type="dxa" w:w="2154"/>
            <w:shd w:val="clear" w:fill="6B4EFF"/>
          </w:tcPr>
          <w:p>
            <w:pPr>
              <w:keepNext/>
            </w:pPr>
            <w:r>
              <w:rPr>
                <w:b/>
                <w:color w:val="FFFFFF"/>
                <w:sz w:val="19"/>
              </w:rPr>
              <w:t>Debtor's situation</w:t>
            </w:r>
          </w:p>
        </w:tc>
        <w:tc>
          <w:tcPr>
            <w:tcW w:type="dxa" w:w="2154"/>
            <w:shd w:val="clear" w:fill="6B4EFF"/>
          </w:tcPr>
          <w:p>
            <w:pPr>
              <w:keepNext/>
            </w:pPr>
            <w:r>
              <w:rPr>
                <w:b/>
                <w:color w:val="FFFFFF"/>
                <w:sz w:val="19"/>
              </w:rPr>
              <w:t>Route</w:t>
            </w:r>
          </w:p>
        </w:tc>
        <w:tc>
          <w:tcPr>
            <w:tcW w:type="dxa" w:w="3515"/>
            <w:shd w:val="clear" w:fill="6B4EFF"/>
          </w:tcPr>
          <w:p>
            <w:pPr>
              <w:keepNext/>
            </w:pPr>
            <w:r>
              <w:rPr>
                <w:b/>
                <w:color w:val="FFFFFF"/>
                <w:sz w:val="19"/>
              </w:rPr>
              <w:t>What the skill produces</w:t>
            </w:r>
          </w:p>
        </w:tc>
        <w:tc>
          <w:tcPr>
            <w:tcW w:type="dxa" w:w="1814"/>
            <w:shd w:val="clear" w:fill="6B4EFF"/>
          </w:tcPr>
          <w:p>
            <w:pPr>
              <w:keepNext/>
            </w:pPr>
            <w:r>
              <w:rPr>
                <w:b/>
                <w:color w:val="FFFFFF"/>
                <w:sz w:val="19"/>
              </w:rPr>
              <w:t>Key deadline</w:t>
            </w:r>
          </w:p>
        </w:tc>
      </w:tr>
      <w:tr>
        <w:trPr>
          <w:cantSplit/>
        </w:trPr>
        <w:tc>
          <w:tcPr>
            <w:tcW w:type="dxa" w:w="2154"/>
          </w:tcPr>
          <w:p>
            <w:pPr>
              <w:keepNext/>
            </w:pPr>
            <w:r>
              <w:rPr>
                <w:b/>
                <w:sz w:val="19"/>
              </w:rPr>
              <w:t>Solvent (nothing in BODACC)</w:t>
            </w:r>
          </w:p>
        </w:tc>
        <w:tc>
          <w:tcPr>
            <w:tcW w:type="dxa" w:w="2154"/>
          </w:tcPr>
          <w:p>
            <w:pPr>
              <w:keepNext/>
            </w:pPr>
            <w:r>
              <w:rPr>
                <w:sz w:val="19"/>
              </w:rPr>
              <w:t>Payment order (injonction de payer, art. 1405 CPC)</w:t>
            </w:r>
          </w:p>
        </w:tc>
        <w:tc>
          <w:tcPr>
            <w:tcW w:type="dxa" w:w="3515"/>
          </w:tcPr>
          <w:p>
            <w:pPr>
              <w:keepNext/>
            </w:pPr>
            <w:r>
              <w:rPr>
                <w:sz w:val="19"/>
              </w:rPr>
              <w:t>Pre-filled CERFA 12946 + exhibit list + claim computation + Infogreffe guide (~€35)</w:t>
            </w:r>
          </w:p>
        </w:tc>
        <w:tc>
          <w:tcPr>
            <w:tcW w:type="dxa" w:w="1814"/>
          </w:tcPr>
          <w:p>
            <w:pPr>
              <w:keepNext/>
            </w:pPr>
            <w:r>
              <w:rPr>
                <w:sz w:val="19"/>
              </w:rPr>
              <w:t>5-year limitation (art. L110-4)</w:t>
            </w:r>
          </w:p>
        </w:tc>
      </w:tr>
      <w:tr>
        <w:trPr>
          <w:cantSplit/>
        </w:trPr>
        <w:tc>
          <w:tcPr>
            <w:tcW w:type="dxa" w:w="2154"/>
            <w:shd w:val="clear" w:fill="F1EDFF"/>
          </w:tcPr>
          <w:p>
            <w:pPr>
              <w:keepNext/>
            </w:pPr>
            <w:r>
              <w:rPr>
                <w:b/>
                <w:sz w:val="19"/>
              </w:rPr>
              <w:t>Collective proceedings</w:t>
            </w:r>
          </w:p>
        </w:tc>
        <w:tc>
          <w:tcPr>
            <w:tcW w:type="dxa" w:w="2154"/>
            <w:shd w:val="clear" w:fill="F1EDFF"/>
          </w:tcPr>
          <w:p>
            <w:pPr>
              <w:keepNext/>
            </w:pPr>
            <w:r>
              <w:rPr>
                <w:sz w:val="19"/>
              </w:rPr>
              <w:t>Proof of claim (art. L622-24)</w:t>
            </w:r>
          </w:p>
        </w:tc>
        <w:tc>
          <w:tcPr>
            <w:tcW w:type="dxa" w:w="3515"/>
            <w:shd w:val="clear" w:fill="F1EDFF"/>
          </w:tcPr>
          <w:p>
            <w:pPr>
              <w:keepNext/>
            </w:pPr>
            <w:r>
              <w:rPr>
                <w:sz w:val="19"/>
              </w:rPr>
              <w:t>Drafted claim statement: principal, interest stopped at the judgment, exhibits, receiver's address when published</w:t>
            </w:r>
          </w:p>
        </w:tc>
        <w:tc>
          <w:tcPr>
            <w:tcW w:type="dxa" w:w="1814"/>
            <w:shd w:val="clear" w:fill="F1EDFF"/>
          </w:tcPr>
          <w:p>
            <w:pPr>
              <w:keepNext/>
            </w:pPr>
            <w:r>
              <w:rPr>
                <w:sz w:val="19"/>
              </w:rPr>
              <w:t>2 months after BODACC publication</w:t>
            </w:r>
          </w:p>
        </w:tc>
      </w:tr>
      <w:tr>
        <w:trPr>
          <w:cantSplit/>
        </w:trPr>
        <w:tc>
          <w:tcPr>
            <w:tcW w:type="dxa" w:w="2154"/>
          </w:tcPr>
          <w:p>
            <w:r>
              <w:rPr>
                <w:b/>
                <w:sz w:val="19"/>
              </w:rPr>
              <w:t>Company struck off / unreachable</w:t>
            </w:r>
          </w:p>
        </w:tc>
        <w:tc>
          <w:tcPr>
            <w:tcW w:type="dxa" w:w="2154"/>
          </w:tcPr>
          <w:p>
            <w:r>
              <w:rPr>
                <w:sz w:val="19"/>
              </w:rPr>
              <w:t>Neither</w:t>
            </w:r>
          </w:p>
        </w:tc>
        <w:tc>
          <w:tcPr>
            <w:tcW w:type="dxa" w:w="3515"/>
          </w:tcPr>
          <w:p>
            <w:r>
              <w:rPr>
                <w:sz w:val="19"/>
              </w:rPr>
              <w:t>Factual finding + advice to consult a professional</w:t>
            </w:r>
          </w:p>
        </w:tc>
        <w:tc>
          <w:tcPr>
            <w:tcW w:type="dxa" w:w="1814"/>
          </w:tcPr>
          <w:p>
            <w:r>
              <w:rPr>
                <w:sz w:val="19"/>
              </w:rPr>
              <w:t>—</w:t>
            </w:r>
          </w:p>
        </w:tc>
      </w:tr>
    </w:tbl>
    <w:p>
      <w:pPr>
        <w:spacing w:after="40"/>
      </w:pPr>
    </w:p>
    <w:p>
      <w:pPr>
        <w:keepNext/>
        <w:spacing w:before="320" w:after="120"/>
      </w:pPr>
      <w:r>
        <w:rPr>
          <w:b/>
          <w:color w:val="4A30D9"/>
          <w:sz w:val="32"/>
        </w:rPr>
        <w:t>💶 The interest computation (indicative, to be validated)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cantSplit/>
        </w:trPr>
        <w:tc>
          <w:tcPr>
            <w:tcW w:type="dxa" w:w="1928"/>
            <w:shd w:val="clear" w:fill="6B4EFF"/>
          </w:tcPr>
          <w:p>
            <w:pPr>
              <w:keepNext/>
            </w:pPr>
            <w:r>
              <w:rPr>
                <w:b/>
                <w:color w:val="FFFFFF"/>
                <w:sz w:val="19"/>
              </w:rPr>
              <w:t>Item</w:t>
            </w:r>
          </w:p>
        </w:tc>
        <w:tc>
          <w:tcPr>
            <w:tcW w:type="dxa" w:w="4082"/>
            <w:shd w:val="clear" w:fill="6B4EFF"/>
          </w:tcPr>
          <w:p>
            <w:pPr>
              <w:keepNext/>
            </w:pPr>
            <w:r>
              <w:rPr>
                <w:b/>
                <w:color w:val="FFFFFF"/>
                <w:sz w:val="19"/>
              </w:rPr>
              <w:t>Rule</w:t>
            </w:r>
          </w:p>
        </w:tc>
        <w:tc>
          <w:tcPr>
            <w:tcW w:type="dxa" w:w="3628"/>
            <w:shd w:val="clear" w:fill="6B4EFF"/>
          </w:tcPr>
          <w:p>
            <w:pPr>
              <w:keepNext/>
            </w:pPr>
            <w:r>
              <w:rPr>
                <w:b/>
                <w:color w:val="FFFFFF"/>
                <w:sz w:val="19"/>
              </w:rPr>
              <w:t>Invented example: INV-2026-017, €4,800 incl. VAT, 92 days overdue</w:t>
            </w:r>
          </w:p>
        </w:tc>
      </w:tr>
      <w:tr>
        <w:trPr>
          <w:cantSplit/>
        </w:trPr>
        <w:tc>
          <w:tcPr>
            <w:tcW w:type="dxa" w:w="1928"/>
          </w:tcPr>
          <w:p>
            <w:pPr>
              <w:keepNext/>
            </w:pPr>
            <w:r>
              <w:rPr>
                <w:b/>
                <w:sz w:val="19"/>
              </w:rPr>
              <w:t>Principal</w:t>
            </w:r>
          </w:p>
        </w:tc>
        <w:tc>
          <w:tcPr>
            <w:tcW w:type="dxa" w:w="4082"/>
          </w:tcPr>
          <w:p>
            <w:pPr>
              <w:keepNext/>
            </w:pPr>
            <w:r>
              <w:rPr>
                <w:sz w:val="19"/>
              </w:rPr>
              <w:t>Total incl. VAT − proven payments on account</w:t>
            </w:r>
          </w:p>
        </w:tc>
        <w:tc>
          <w:tcPr>
            <w:tcW w:type="dxa" w:w="3628"/>
          </w:tcPr>
          <w:p>
            <w:pPr>
              <w:keepNext/>
            </w:pPr>
            <w:r>
              <w:rPr>
                <w:sz w:val="19"/>
              </w:rPr>
              <w:t>€4,800.00</w:t>
            </w:r>
          </w:p>
        </w:tc>
      </w:tr>
      <w:tr>
        <w:trPr>
          <w:cantSplit/>
        </w:trPr>
        <w:tc>
          <w:tcPr>
            <w:tcW w:type="dxa" w:w="1928"/>
            <w:shd w:val="clear" w:fill="F1EDFF"/>
          </w:tcPr>
          <w:p>
            <w:pPr>
              <w:keepNext/>
            </w:pPr>
            <w:r>
              <w:rPr>
                <w:b/>
                <w:sz w:val="19"/>
              </w:rPr>
              <w:t>Late-payment interest</w:t>
            </w:r>
          </w:p>
        </w:tc>
        <w:tc>
          <w:tcPr>
            <w:tcW w:type="dxa" w:w="4082"/>
            <w:shd w:val="clear" w:fill="F1EDFF"/>
          </w:tcPr>
          <w:p>
            <w:pPr>
              <w:keepNext/>
            </w:pPr>
            <w:r>
              <w:rPr>
                <w:sz w:val="19"/>
              </w:rPr>
              <w:t>Contract rate, else ECB refi + 10 pts (floor 3× the legal rate), from the day after the due date to filing, /365</w:t>
            </w:r>
          </w:p>
        </w:tc>
        <w:tc>
          <w:tcPr>
            <w:tcW w:type="dxa" w:w="3628"/>
            <w:shd w:val="clear" w:fill="F1EDFF"/>
          </w:tcPr>
          <w:p>
            <w:pPr>
              <w:keepNext/>
            </w:pPr>
            <w:r>
              <w:rPr>
                <w:sz w:val="19"/>
              </w:rPr>
              <w:t>4,800 × 12.15% × 92/365 ≈ €147.00 (illustrative rate)</w:t>
            </w:r>
          </w:p>
        </w:tc>
      </w:tr>
      <w:tr>
        <w:trPr>
          <w:cantSplit/>
        </w:trPr>
        <w:tc>
          <w:tcPr>
            <w:tcW w:type="dxa" w:w="1928"/>
          </w:tcPr>
          <w:p>
            <w:pPr>
              <w:keepNext/>
            </w:pPr>
            <w:r>
              <w:rPr>
                <w:b/>
                <w:sz w:val="19"/>
              </w:rPr>
              <w:t>Recovery indemnity</w:t>
            </w:r>
          </w:p>
        </w:tc>
        <w:tc>
          <w:tcPr>
            <w:tcW w:type="dxa" w:w="4082"/>
          </w:tcPr>
          <w:p>
            <w:pPr>
              <w:keepNext/>
            </w:pPr>
            <w:r>
              <w:rPr>
                <w:sz w:val="19"/>
              </w:rPr>
              <w:t>€40 per invoice (art. D441-5)</w:t>
            </w:r>
          </w:p>
        </w:tc>
        <w:tc>
          <w:tcPr>
            <w:tcW w:type="dxa" w:w="3628"/>
          </w:tcPr>
          <w:p>
            <w:pPr>
              <w:keepNext/>
            </w:pPr>
            <w:r>
              <w:rPr>
                <w:sz w:val="19"/>
              </w:rPr>
              <w:t>€40.00</w:t>
            </w:r>
          </w:p>
        </w:tc>
      </w:tr>
      <w:tr>
        <w:trPr>
          <w:cantSplit/>
        </w:trPr>
        <w:tc>
          <w:tcPr>
            <w:tcW w:type="dxa" w:w="1928"/>
            <w:shd w:val="clear" w:fill="F1EDFF"/>
          </w:tcPr>
          <w:p>
            <w:r>
              <w:rPr>
                <w:b/>
                <w:sz w:val="19"/>
              </w:rPr>
              <w:t>Total claimed</w:t>
            </w:r>
          </w:p>
        </w:tc>
        <w:tc>
          <w:tcPr>
            <w:tcW w:type="dxa" w:w="4082"/>
            <w:shd w:val="clear" w:fill="F1EDFF"/>
          </w:tcPr>
          <w:p>
            <w:r>
              <w:rPr>
                <w:sz w:val="19"/>
              </w:rPr>
              <w:t>Each line separate on the form</w:t>
            </w:r>
          </w:p>
        </w:tc>
        <w:tc>
          <w:tcPr>
            <w:tcW w:type="dxa" w:w="3628"/>
            <w:shd w:val="clear" w:fill="F1EDFF"/>
          </w:tcPr>
          <w:p>
            <w:r>
              <w:rPr>
                <w:sz w:val="19"/>
              </w:rPr>
              <w:t>≈ €4,987.00</w:t>
            </w:r>
          </w:p>
        </w:tc>
      </w:tr>
    </w:tbl>
    <w:p>
      <w:pPr>
        <w:spacing w:after="40"/>
      </w:pPr>
    </w:p>
    <w:p>
      <w:pPr>
        <w:keepNext/>
        <w:spacing w:before="320" w:after="120"/>
      </w:pPr>
      <w:r>
        <w:rPr>
          <w:b/>
          <w:color w:val="4A30D9"/>
          <w:sz w:val="32"/>
        </w:rPr>
        <w:t>📤 Output formats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cantSplit/>
        </w:trPr>
        <w:tc>
          <w:tcPr>
            <w:tcW w:type="dxa" w:w="2608"/>
            <w:shd w:val="clear" w:fill="6B4EFF"/>
          </w:tcPr>
          <w:p>
            <w:pPr>
              <w:keepNext/>
            </w:pPr>
            <w:r>
              <w:rPr>
                <w:b/>
                <w:color w:val="FFFFFF"/>
                <w:sz w:val="19"/>
              </w:rPr>
              <w:t>Output</w:t>
            </w:r>
          </w:p>
        </w:tc>
        <w:tc>
          <w:tcPr>
            <w:tcW w:type="dxa" w:w="3969"/>
            <w:shd w:val="clear" w:fill="6B4EFF"/>
          </w:tcPr>
          <w:p>
            <w:pPr>
              <w:keepNext/>
            </w:pPr>
            <w:r>
              <w:rPr>
                <w:b/>
                <w:color w:val="FFFFFF"/>
                <w:sz w:val="19"/>
              </w:rPr>
              <w:t>Format</w:t>
            </w:r>
          </w:p>
        </w:tc>
        <w:tc>
          <w:tcPr>
            <w:tcW w:type="dxa" w:w="3061"/>
            <w:shd w:val="clear" w:fill="6B4EFF"/>
          </w:tcPr>
          <w:p>
            <w:pPr>
              <w:keepNext/>
            </w:pPr>
            <w:r>
              <w:rPr>
                <w:b/>
                <w:color w:val="FFFFFF"/>
                <w:sz w:val="19"/>
              </w:rPr>
              <w:t>When</w:t>
            </w:r>
          </w:p>
        </w:tc>
      </w:tr>
      <w:tr>
        <w:trPr>
          <w:cantSplit/>
        </w:trPr>
        <w:tc>
          <w:tcPr>
            <w:tcW w:type="dxa" w:w="2608"/>
          </w:tcPr>
          <w:p>
            <w:pPr>
              <w:keepNext/>
            </w:pPr>
            <w:r>
              <w:rPr>
                <w:b/>
                <w:sz w:val="19"/>
              </w:rPr>
              <w:t>Conversation reply</w:t>
            </w:r>
          </w:p>
        </w:tc>
        <w:tc>
          <w:tcPr>
            <w:tcW w:type="dxa" w:w="3969"/>
          </w:tcPr>
          <w:p>
            <w:pPr>
              <w:keepNext/>
            </w:pPr>
            <w:r>
              <w:rPr>
                <w:sz w:val="19"/>
              </w:rPr>
              <w:t>Markdown tables: claim computation, CERFA field→value pre-fill, exhibit list ✅/📋, route banner</w:t>
            </w:r>
          </w:p>
        </w:tc>
        <w:tc>
          <w:tcPr>
            <w:tcW w:type="dxa" w:w="3061"/>
          </w:tcPr>
          <w:p>
            <w:pPr>
              <w:keepNext/>
            </w:pPr>
            <w:r>
              <w:rPr>
                <w:sz w:val="19"/>
              </w:rPr>
              <w:t>Always — the baseline</w:t>
            </w:r>
          </w:p>
        </w:tc>
      </w:tr>
      <w:tr>
        <w:trPr>
          <w:cantSplit/>
        </w:trPr>
        <w:tc>
          <w:tcPr>
            <w:tcW w:type="dxa" w:w="2608"/>
            <w:shd w:val="clear" w:fill="F1EDFF"/>
          </w:tcPr>
          <w:p>
            <w:pPr>
              <w:keepNext/>
            </w:pPr>
            <w:r>
              <w:rPr>
                <w:b/>
                <w:sz w:val="19"/>
              </w:rPr>
              <w:t>Printable dossier</w:t>
            </w:r>
          </w:p>
        </w:tc>
        <w:tc>
          <w:tcPr>
            <w:tcW w:type="dxa" w:w="3969"/>
            <w:shd w:val="clear" w:fill="F1EDFF"/>
          </w:tcPr>
          <w:p>
            <w:pPr>
              <w:keepNext/>
            </w:pPr>
            <w:r>
              <w:rPr>
                <w:sz w:val="19"/>
              </w:rPr>
              <w:t>HTML file/artifact: cover sheet, computation, pre-filled form, exhibit list — save as PDF</w:t>
            </w:r>
          </w:p>
        </w:tc>
        <w:tc>
          <w:tcPr>
            <w:tcW w:type="dxa" w:w="3061"/>
            <w:shd w:val="clear" w:fill="F1EDFF"/>
          </w:tcPr>
          <w:p>
            <w:pPr>
              <w:keepNext/>
            </w:pPr>
            <w:r>
              <w:rPr>
                <w:sz w:val="19"/>
              </w:rPr>
              <w:t>When the host renders files; fallback to tables</w:t>
            </w:r>
          </w:p>
        </w:tc>
      </w:tr>
      <w:tr>
        <w:trPr>
          <w:cantSplit/>
        </w:trPr>
        <w:tc>
          <w:tcPr>
            <w:tcW w:type="dxa" w:w="2608"/>
          </w:tcPr>
          <w:p>
            <w:r>
              <w:rPr>
                <w:b/>
                <w:sz w:val="19"/>
              </w:rPr>
              <w:t>Exhibits</w:t>
            </w:r>
          </w:p>
        </w:tc>
        <w:tc>
          <w:tcPr>
            <w:tcW w:type="dxa" w:w="3969"/>
          </w:tcPr>
          <w:p>
            <w:r>
              <w:rPr>
                <w:sz w:val="19"/>
              </w:rPr>
              <w:t>Qonto receipts retrieved (get_attachment) + a “to provide” list</w:t>
            </w:r>
          </w:p>
        </w:tc>
        <w:tc>
          <w:tcPr>
            <w:tcW w:type="dxa" w:w="3061"/>
          </w:tcPr>
          <w:p>
            <w:r>
              <w:rPr>
                <w:sz w:val="19"/>
              </w:rPr>
              <w:t>Every dossier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keepNext/>
        <w:spacing w:before="320" w:after="120"/>
      </w:pPr>
      <w:r>
        <w:rPr>
          <w:b/>
          <w:color w:val="4A30D9"/>
          <w:sz w:val="32"/>
        </w:rPr>
        <w:t>🎬 Demo video</w:t>
      </w:r>
    </w:p>
    <w:p>
      <w:r>
        <w:rPr>
          <w:b w:val="0"/>
          <w:i w:val="0"/>
          <w:sz w:val="21"/>
        </w:rPr>
        <w:t>The ≤ 3-minute demo attached to the PR walks through: the problem → proven non-payment + the BODACC check → interest computation + the right court → the complete dossier, ready to sign → filing on Infogreffe. All figures shown are invented examples. (Shooting script kept internally, out of the repository.)</w:t>
      </w:r>
    </w:p>
    <w:p>
      <w:pPr>
        <w:keepNext/>
        <w:spacing w:before="320" w:after="120"/>
      </w:pPr>
      <w:r>
        <w:rPr>
          <w:b/>
          <w:color w:val="4A30D9"/>
          <w:sz w:val="32"/>
        </w:rPr>
        <w:t>💡 Roadmap ideas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cantSplit/>
        </w:trPr>
        <w:tc>
          <w:tcPr>
            <w:tcW w:type="dxa" w:w="4762"/>
            <w:shd w:val="clear" w:fill="6B4EFF"/>
          </w:tcPr>
          <w:p>
            <w:pPr>
              <w:keepNext/>
            </w:pPr>
            <w:r>
              <w:rPr>
                <w:b/>
                <w:color w:val="FFFFFF"/>
                <w:sz w:val="19"/>
              </w:rPr>
              <w:t>Idea</w:t>
            </w:r>
          </w:p>
        </w:tc>
        <w:tc>
          <w:tcPr>
            <w:tcW w:type="dxa" w:w="1474"/>
            <w:shd w:val="clear" w:fill="6B4EFF"/>
          </w:tcPr>
          <w:p>
            <w:pPr>
              <w:keepNext/>
            </w:pPr>
            <w:r>
              <w:rPr>
                <w:b/>
                <w:color w:val="FFFFFF"/>
                <w:sz w:val="19"/>
              </w:rPr>
              <w:t>Effort</w:t>
            </w:r>
          </w:p>
        </w:tc>
        <w:tc>
          <w:tcPr>
            <w:tcW w:type="dxa" w:w="3402"/>
            <w:shd w:val="clear" w:fill="6B4EFF"/>
          </w:tcPr>
          <w:p>
            <w:pPr>
              <w:keepNext/>
            </w:pPr>
            <w:r>
              <w:rPr>
                <w:b/>
                <w:color w:val="FFFFFF"/>
                <w:sz w:val="19"/>
              </w:rPr>
              <w:t>Note</w:t>
            </w:r>
          </w:p>
        </w:tc>
      </w:tr>
      <w:tr>
        <w:trPr>
          <w:cantSplit/>
        </w:trPr>
        <w:tc>
          <w:tcPr>
            <w:tcW w:type="dxa" w:w="4762"/>
          </w:tcPr>
          <w:p>
            <w:pPr>
              <w:keepNext/>
            </w:pPr>
            <w:r>
              <w:rPr>
                <w:b/>
                <w:sz w:val="19"/>
              </w:rPr>
              <w:t>European order for payment (form A, Regulation 1896/2006)</w:t>
            </w:r>
          </w:p>
        </w:tc>
        <w:tc>
          <w:tcPr>
            <w:tcW w:type="dxa" w:w="1474"/>
          </w:tcPr>
          <w:p>
            <w:pPr>
              <w:keepNext/>
            </w:pPr>
            <w:r>
              <w:rPr>
                <w:sz w:val="19"/>
              </w:rPr>
              <w:t>Medium</w:t>
            </w:r>
          </w:p>
        </w:tc>
        <w:tc>
          <w:tcPr>
            <w:tcW w:type="dxa" w:w="3402"/>
          </w:tcPr>
          <w:p>
            <w:pPr>
              <w:keepNext/>
            </w:pPr>
            <w:r>
              <w:rPr>
                <w:sz w:val="19"/>
              </w:rPr>
              <w:t>For debtors in another member state — same computation engine</w:t>
            </w:r>
          </w:p>
        </w:tc>
      </w:tr>
      <w:tr>
        <w:trPr>
          <w:cantSplit/>
        </w:trPr>
        <w:tc>
          <w:tcPr>
            <w:tcW w:type="dxa" w:w="4762"/>
            <w:shd w:val="clear" w:fill="F1EDFF"/>
          </w:tcPr>
          <w:p>
            <w:pPr>
              <w:keepNext/>
            </w:pPr>
            <w:r>
              <w:rPr>
                <w:b/>
                <w:sz w:val="19"/>
              </w:rPr>
              <w:t>Post-filing follow-up: service (6 months) and opposition (1 month) reminders</w:t>
            </w:r>
          </w:p>
        </w:tc>
        <w:tc>
          <w:tcPr>
            <w:tcW w:type="dxa" w:w="1474"/>
            <w:shd w:val="clear" w:fill="F1EDFF"/>
          </w:tcPr>
          <w:p>
            <w:pPr>
              <w:keepNext/>
            </w:pPr>
            <w:r>
              <w:rPr>
                <w:sz w:val="19"/>
              </w:rPr>
              <w:t>Low</w:t>
            </w:r>
          </w:p>
        </w:tc>
        <w:tc>
          <w:tcPr>
            <w:tcW w:type="dxa" w:w="3402"/>
            <w:shd w:val="clear" w:fill="F1EDFF"/>
          </w:tcPr>
          <w:p>
            <w:pPr>
              <w:keepNext/>
            </w:pPr>
            <w:r>
              <w:rPr>
                <w:sz w:val="19"/>
              </w:rPr>
              <w:t>Reuses the qonto-prescription-guard clock</w:t>
            </w:r>
          </w:p>
        </w:tc>
      </w:tr>
      <w:tr>
        <w:trPr>
          <w:cantSplit/>
        </w:trPr>
        <w:tc>
          <w:tcPr>
            <w:tcW w:type="dxa" w:w="4762"/>
          </w:tcPr>
          <w:p>
            <w:pPr>
              <w:keepNext/>
            </w:pPr>
            <w:r>
              <w:rPr>
                <w:b/>
                <w:sz w:val="19"/>
              </w:rPr>
              <w:t>Multi-invoice claims: one request per debtor stacking N invoices</w:t>
            </w:r>
          </w:p>
        </w:tc>
        <w:tc>
          <w:tcPr>
            <w:tcW w:type="dxa" w:w="1474"/>
          </w:tcPr>
          <w:p>
            <w:pPr>
              <w:keepNext/>
            </w:pPr>
            <w:r>
              <w:rPr>
                <w:sz w:val="19"/>
              </w:rPr>
              <w:t>Low</w:t>
            </w:r>
          </w:p>
        </w:tc>
        <w:tc>
          <w:tcPr>
            <w:tcW w:type="dxa" w:w="3402"/>
          </w:tcPr>
          <w:p>
            <w:pPr>
              <w:keepNext/>
            </w:pPr>
            <w:r>
              <w:rPr>
                <w:sz w:val="19"/>
              </w:rPr>
              <w:t>The exhibit list and the computation already stack</w:t>
            </w:r>
          </w:p>
        </w:tc>
      </w:tr>
      <w:tr>
        <w:trPr>
          <w:cantSplit/>
        </w:trPr>
        <w:tc>
          <w:tcPr>
            <w:tcW w:type="dxa" w:w="4762"/>
            <w:shd w:val="clear" w:fill="F1EDFF"/>
          </w:tcPr>
          <w:p>
            <w:r>
              <w:rPr>
                <w:b/>
                <w:sz w:val="19"/>
              </w:rPr>
              <w:t>Draft email to the court clerk / bailiff (email MCP detected dynamically)</w:t>
            </w:r>
          </w:p>
        </w:tc>
        <w:tc>
          <w:tcPr>
            <w:tcW w:type="dxa" w:w="1474"/>
            <w:shd w:val="clear" w:fill="F1EDFF"/>
          </w:tcPr>
          <w:p>
            <w:r>
              <w:rPr>
                <w:sz w:val="19"/>
              </w:rPr>
              <w:t>Low</w:t>
            </w:r>
          </w:p>
        </w:tc>
        <w:tc>
          <w:tcPr>
            <w:tcW w:type="dxa" w:w="3402"/>
            <w:shd w:val="clear" w:fill="F1EDFF"/>
          </w:tcPr>
          <w:p>
            <w:r>
              <w:rPr>
                <w:sz w:val="19"/>
              </w:rPr>
              <w:t>Optional multi-MCP enrichment, in the spirit of the kickoff</w:t>
            </w:r>
          </w:p>
        </w:tc>
      </w:tr>
    </w:tbl>
    <w:p>
      <w:pPr>
        <w:spacing w:after="40"/>
      </w:pPr>
    </w:p>
    <w:p>
      <w:pPr>
        <w:keepNext/>
        <w:spacing w:before="320" w:after="120"/>
      </w:pPr>
      <w:r>
        <w:rPr>
          <w:b/>
          <w:color w:val="4A30D9"/>
          <w:sz w:val="32"/>
        </w:rPr>
        <w:t>🛡 Guardrails</w:t>
      </w:r>
    </w:p>
    <w:p>
      <w:pPr>
        <w:pStyle w:val="ListBullet"/>
        <w:spacing w:after="60"/>
      </w:pPr>
      <w:r>
        <w:rPr>
          <w:sz w:val="21"/>
        </w:rPr>
        <w:t>Not legal advice — stated on every dossier; interest = indicative computation to be validated (lawyer, court bailiff, or the court clerk)</w:t>
      </w:r>
    </w:p>
    <w:p>
      <w:pPr>
        <w:pStyle w:val="ListBullet"/>
        <w:spacing w:after="60"/>
      </w:pPr>
      <w:r>
        <w:rPr>
          <w:sz w:val="21"/>
        </w:rPr>
        <w:t>Zero writes: never presented as filed, served, or granted — the skill stops at the ready-to-sign dossier</w:t>
      </w:r>
    </w:p>
    <w:p>
      <w:pPr>
        <w:pStyle w:val="ListBullet"/>
        <w:spacing w:after="60"/>
      </w:pPr>
      <w:r>
        <w:rPr>
          <w:sz w:val="21"/>
        </w:rPr>
        <w:t>Debtor in collective proceedings → the injunction is never suggested; systematic reorientation to the proof of claim</w:t>
      </w:r>
    </w:p>
    <w:p>
      <w:pPr>
        <w:pStyle w:val="ListBullet"/>
        <w:spacing w:after="60"/>
      </w:pPr>
      <w:r>
        <w:rPr>
          <w:sz w:val="21"/>
        </w:rPr>
        <w:t>Disputed claims and limitation risks are flagged, never silenced</w:t>
      </w:r>
    </w:p>
    <w:p>
      <w:pPr>
        <w:pStyle w:val="ListBullet"/>
        <w:spacing w:after="60"/>
      </w:pPr>
      <w:r>
        <w:rPr>
          <w:sz w:val="21"/>
        </w:rPr>
        <w:t>France-only procedure; elsewhere, a factual dossier without a form</w:t>
      </w:r>
    </w:p>
    <w:p>
      <w:pPr>
        <w:pStyle w:val="ListBullet"/>
        <w:spacing w:after="60"/>
      </w:pPr>
      <w:r>
        <w:rPr>
          <w:sz w:val="21"/>
        </w:rPr>
        <w:t>IBANs masked (last 4 digits) · pagination ≤ 50 · examples invented (INV-YYYY-NNN)</w:t>
      </w:r>
    </w:p>
    <w:p>
      <w:pPr>
        <w:spacing w:before="360"/>
        <w:jc w:val="center"/>
      </w:pPr>
      <w:r>
        <w:rPr>
          <w:color w:val="5A5670"/>
          <w:sz w:val="17"/>
        </w:rPr>
        <w:t>qonto-injonction · English documentation · Qonto × Anthropic MCP Hackathon · July 2026 · PR deliverable: SKILL.md · French version: doc-qonto-injonction.fr.docx</w:t>
      </w:r>
    </w:p>
    <w:sectPr w:rsidR="00FC693F" w:rsidRPr="0006063C" w:rsidSect="00034616"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Helvetica Neue" w:hAnsi="Helvetica Neue"/>
      <w:color w:val="1D1B29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