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enlo" w:hAnsi="Menlo"/>
          <w:b/>
          <w:color w:val="6B4EFF"/>
          <w:sz w:val="60"/>
        </w:rPr>
        <w:t>qonto-injonction</w:t>
      </w:r>
    </w:p>
    <w:p>
      <w:pPr>
        <w:jc w:val="center"/>
      </w:pPr>
      <w:r>
        <w:rPr>
          <w:b/>
          <w:color w:val="1D1B29"/>
          <w:sz w:val="26"/>
        </w:rPr>
        <w:t>Quand la relance ne suffit plus — le dossier d'injonction de payer prêt à signer</w:t>
      </w:r>
    </w:p>
    <w:p>
      <w:pPr>
        <w:spacing w:after="280"/>
        <w:jc w:val="center"/>
      </w:pPr>
      <w:r>
        <w:rPr>
          <w:color w:val="5A5670"/>
          <w:sz w:val="19"/>
        </w:rPr>
        <w:t>Hackathon Qonto × Anthropic MCP  ·  CERFA 12946 pré-rempli  ·  BODACC vérifié avant tout  ·  Zéro écriture, par conception</w:t>
      </w:r>
    </w:p>
    <w:p>
      <w:pPr>
        <w:pBdr>
          <w:bottom w:val="single" w:sz="24" w:color="6B4EFF"/>
        </w:pBdr>
        <w:spacing w:after="20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🎯 Le pitch</w:t>
      </w:r>
    </w:p>
    <w:p>
      <w:r>
        <w:rPr>
          <w:b w:val="0"/>
          <w:i w:val="0"/>
          <w:sz w:val="21"/>
        </w:rPr>
        <w:t>Les relances ont échoué (voir qonto-invoice-chaser), la mise en demeure est restée sans réponse. L'injonction de payer coûte ~35 € et se fait sans avocat — mais presque personne n'ose : formulaire intimidant, intérêts à calculer, tribunal à trouver. Le skill fait tout ça depuis le compte Qonto :</w:t>
      </w:r>
    </w:p>
    <w:p>
      <w:pPr>
        <w:pStyle w:val="ListBullet"/>
        <w:spacing w:after="60"/>
      </w:pPr>
      <w:r>
        <w:rPr>
          <w:sz w:val="21"/>
        </w:rPr>
        <w:t>1. Vérification BODACC d'abord (API publique, sans clé) — débiteur en procédure collective → PAS d'injonction : le skill réoriente vers la déclaration de créance (délai 2 mois) et la rédige</w:t>
      </w:r>
    </w:p>
    <w:p>
      <w:pPr>
        <w:pStyle w:val="ListBullet"/>
        <w:spacing w:after="60"/>
      </w:pPr>
      <w:r>
        <w:rPr>
          <w:sz w:val="21"/>
        </w:rPr>
        <w:t>2. Créance chiffrée au jour près — principal (acomptes déduits), intérêts de retard (BCE + 10 pts, plancher 3× le taux légal — art. L441-10), indemnité forfaitaire de 40 € (art. D441-5), formule affichée</w:t>
      </w:r>
    </w:p>
    <w:p>
      <w:pPr>
        <w:pStyle w:val="ListBullet"/>
        <w:spacing w:after="60"/>
      </w:pPr>
      <w:r>
        <w:rPr>
          <w:sz w:val="21"/>
        </w:rPr>
        <w:t>3. CERFA 12946 pré-rempli champ par champ + bordereau de pièces numéroté (facture, relances, mise en demeure — récupérées des justificatifs Qonto) + tribunal compétent identifié depuis le siège du débiteur</w:t>
      </w:r>
    </w:p>
    <w:p>
      <w:pPr>
        <w:pStyle w:val="ListBullet"/>
        <w:spacing w:after="60"/>
      </w:pPr>
      <w:r>
        <w:rPr>
          <w:sz w:val="21"/>
        </w:rPr>
        <w:t>4. Mode d'emploi Infogreffe — dépôt dématérialisé ~35 €, pièces PDF &lt; 2 Mo, et la suite : ordonnance → signification → opposition 1 mois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📋 Prérequis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38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Prérequis</w:t>
            </w:r>
          </w:p>
        </w:tc>
        <w:tc>
          <w:tcPr>
            <w:tcW w:type="dxa" w:w="5443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Détail</w:t>
            </w:r>
          </w:p>
        </w:tc>
        <w:tc>
          <w:tcPr>
            <w:tcW w:type="dxa" w:w="181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Obligatoire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Compte Qonto production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Le skill s'adapte à toute organisation — get_organization d'abord, zéro donnée en dur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Oui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Pays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Procédure CERFA : France. Autres pays Qonto (DE, ES, IT…) : dossier factuel complet mais sans formulaire — jamais de forme ni de taux étranger inventé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ℹ️ Détecté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MCP Qonto connecté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Connecteur officiel (claude.ai / Claude Desktop), login OAuth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Oui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Accès web (APIs publiques, sans clé)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BODACC + recherche-entreprises.api.gouv.fr. Sans accès web : le skill demande les 2 infos manquantes au lieu de deviner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⭕ Recommandé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Relance amiable déjà faite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Mise en demeure envoyée (LRAR) — sinon le skill renvoie d'abord vers qonto-invoice-chaser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⭕ Conseillé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r>
              <w:rPr>
                <w:b/>
                <w:sz w:val="19"/>
              </w:rPr>
              <w:t>SIREN du débiteur</w:t>
            </w:r>
          </w:p>
        </w:tc>
        <w:tc>
          <w:tcPr>
            <w:tcW w:type="dxa" w:w="5443"/>
            <w:shd w:val="clear" w:fill="F1EDFF"/>
          </w:tcPr>
          <w:p>
            <w:r>
              <w:rPr>
                <w:sz w:val="19"/>
              </w:rPr>
              <w:t>Dans la fiche client Qonto ; sinon recherché par nom + ville et confirmé par l'utilisateur (homonymes)</w:t>
            </w:r>
          </w:p>
        </w:tc>
        <w:tc>
          <w:tcPr>
            <w:tcW w:type="dxa" w:w="1814"/>
            <w:shd w:val="clear" w:fill="F1EDFF"/>
          </w:tcPr>
          <w:p>
            <w:r>
              <w:rPr>
                <w:sz w:val="19"/>
              </w:rPr>
              <w:t>⭕ Optionnel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⚙️ Fonctionnement global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271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f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1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Schéma 1 — Fonctionnement global en 6 étapes (zéro écriture)</w:t>
      </w:r>
    </w:p>
    <w:p>
      <w:pPr>
        <w:keepNext/>
        <w:spacing w:before="200" w:after="120"/>
      </w:pPr>
      <w:r>
        <w:rPr>
          <w:b/>
          <w:color w:val="6B4EFF"/>
          <w:sz w:val="25"/>
        </w:rPr>
        <w:t>Robuste sur données sales</w:t>
      </w:r>
    </w:p>
    <w:p>
      <w:pPr>
        <w:pStyle w:val="ListBullet"/>
        <w:spacing w:after="60"/>
      </w:pPr>
      <w:r>
        <w:rPr>
          <w:sz w:val="21"/>
        </w:rPr>
        <w:t>La facture est peut-être déjà payée : scan des crédits depuis l'émission — un virement jamais rapproché est détecté, le skill s'arrête et propose le rapprochement plutôt que le tribunal</w:t>
      </w:r>
    </w:p>
    <w:p>
      <w:pPr>
        <w:pStyle w:val="ListBullet"/>
        <w:spacing w:after="60"/>
      </w:pPr>
      <w:r>
        <w:rPr>
          <w:sz w:val="21"/>
        </w:rPr>
        <w:t>Paiements partiels : détectés, listés comme pièces et déduits du principal — on ne réclame que le solde</w:t>
      </w:r>
    </w:p>
    <w:p>
      <w:pPr>
        <w:pStyle w:val="ListBullet"/>
        <w:spacing w:after="60"/>
      </w:pPr>
      <w:r>
        <w:rPr>
          <w:sz w:val="21"/>
        </w:rPr>
        <w:t>SIREN absent de la fiche client : recherche par nom + ville sur l'API registre, match confirmé par l'utilisateur (homonymes) — jamais supposé</w:t>
      </w:r>
    </w:p>
    <w:p>
      <w:pPr>
        <w:pStyle w:val="ListBullet"/>
        <w:spacing w:after="60"/>
      </w:pPr>
      <w:r>
        <w:rPr>
          <w:sz w:val="21"/>
        </w:rPr>
        <w:t>Débiteur en liquidation : bascule automatique en déclaration de créance, délai de 2 mois affiché (art. L622-24)</w:t>
      </w:r>
    </w:p>
    <w:p>
      <w:pPr>
        <w:pStyle w:val="ListBullet"/>
        <w:spacing w:after="60"/>
      </w:pPr>
      <w:r>
        <w:rPr>
          <w:sz w:val="21"/>
        </w:rPr>
        <w:t>Justificatif absent de Qonto : listé « à fournir » dans le bordereau — jamais inventé</w:t>
      </w:r>
    </w:p>
    <w:p>
      <w:pPr>
        <w:pStyle w:val="ListBullet"/>
        <w:spacing w:after="60"/>
      </w:pPr>
      <w:r>
        <w:rPr>
          <w:sz w:val="21"/>
        </w:rPr>
        <w:t>Créance contestée ou proche de la prescription (5 ans, art. L110-4) : signalé, jamais tu — voir qonto-prescription-guard</w:t>
      </w:r>
    </w:p>
    <w:p>
      <w:pPr>
        <w:pStyle w:val="ListBullet"/>
        <w:spacing w:after="60"/>
      </w:pPr>
      <w:r>
        <w:rPr>
          <w:sz w:val="21"/>
        </w:rPr>
        <w:t>Pas d'accès web, débiteur étranger, compte vide : le skill dit ce qu'il peut et ne peut pas construire · pagination ≤ 50 partout</w:t>
      </w: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🏗 Schéma fonctionnel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376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.f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76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Schéma 2 — Acteurs et flux : Qonto + 2 APIs publiques en lecture, zéro écriture</w:t>
      </w:r>
    </w:p>
    <w:p>
      <w:r>
        <w:rPr>
          <w:b/>
          <w:i w:val="0"/>
          <w:sz w:val="21"/>
        </w:rPr>
        <w:t>🔒 Zéro écriture, par conception : le skill lit Qonto et deux APIs publiques sans clé, calcule, assemble — et s'arrête au dossier prêt à signer. Rien n'est déposé, rien n'est signifié, rien n'est signé. Le dépôt sur Infogreffe, c'est l'utilisateur, avec sa signature. Aucun acte juridique n'est jamais exécuté par une IA.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⚖️ Les deux routes (le skill choisit la bonne)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215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Situation du débiteur</w:t>
            </w:r>
          </w:p>
        </w:tc>
        <w:tc>
          <w:tcPr>
            <w:tcW w:type="dxa" w:w="215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Route</w:t>
            </w:r>
          </w:p>
        </w:tc>
        <w:tc>
          <w:tcPr>
            <w:tcW w:type="dxa" w:w="3515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Ce que le skill produit</w:t>
            </w:r>
          </w:p>
        </w:tc>
        <w:tc>
          <w:tcPr>
            <w:tcW w:type="dxa" w:w="181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Délai clé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keepNext/>
            </w:pPr>
            <w:r>
              <w:rPr>
                <w:b/>
                <w:sz w:val="19"/>
              </w:rPr>
              <w:t>In bonis (rien au BODACC)</w:t>
            </w:r>
          </w:p>
        </w:tc>
        <w:tc>
          <w:tcPr>
            <w:tcW w:type="dxa" w:w="2154"/>
          </w:tcPr>
          <w:p>
            <w:pPr>
              <w:keepNext/>
            </w:pPr>
            <w:r>
              <w:rPr>
                <w:sz w:val="19"/>
              </w:rPr>
              <w:t>Injonction de payer (art. 1405 s. CPC)</w:t>
            </w:r>
          </w:p>
        </w:tc>
        <w:tc>
          <w:tcPr>
            <w:tcW w:type="dxa" w:w="3515"/>
          </w:tcPr>
          <w:p>
            <w:pPr>
              <w:keepNext/>
            </w:pPr>
            <w:r>
              <w:rPr>
                <w:sz w:val="19"/>
              </w:rPr>
              <w:t>CERFA 12946 pré-rempli + bordereau + calcul + guide Infogreffe (~35 €)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Prescription 5 ans (art. L110-4)</w:t>
            </w:r>
          </w:p>
        </w:tc>
      </w:tr>
      <w:tr>
        <w:trPr>
          <w:cantSplit/>
        </w:trPr>
        <w:tc>
          <w:tcPr>
            <w:tcW w:type="dxa" w:w="2154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Procédure collective (sauvegarde, RJ, LJ)</w:t>
            </w:r>
          </w:p>
        </w:tc>
        <w:tc>
          <w:tcPr>
            <w:tcW w:type="dxa" w:w="2154"/>
            <w:shd w:val="clear" w:fill="F1EDFF"/>
          </w:tcPr>
          <w:p>
            <w:pPr>
              <w:keepNext/>
            </w:pPr>
            <w:r>
              <w:rPr>
                <w:sz w:val="19"/>
              </w:rPr>
              <w:t>Déclaration de créance (art. L622-24)</w:t>
            </w:r>
          </w:p>
        </w:tc>
        <w:tc>
          <w:tcPr>
            <w:tcW w:type="dxa" w:w="3515"/>
            <w:shd w:val="clear" w:fill="F1EDFF"/>
          </w:tcPr>
          <w:p>
            <w:pPr>
              <w:keepNext/>
            </w:pPr>
            <w:r>
              <w:rPr>
                <w:sz w:val="19"/>
              </w:rPr>
              <w:t>Relevé de créance rédigé : principal, intérêts arrêtés au jugement, pièces, adresse du mandataire si publiée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2 mois après publication BODACC</w:t>
            </w:r>
          </w:p>
        </w:tc>
      </w:tr>
      <w:tr>
        <w:trPr>
          <w:cantSplit/>
        </w:trPr>
        <w:tc>
          <w:tcPr>
            <w:tcW w:type="dxa" w:w="2154"/>
          </w:tcPr>
          <w:p>
            <w:r>
              <w:rPr>
                <w:b/>
                <w:sz w:val="19"/>
              </w:rPr>
              <w:t>Société radiée / introuvable</w:t>
            </w:r>
          </w:p>
        </w:tc>
        <w:tc>
          <w:tcPr>
            <w:tcW w:type="dxa" w:w="2154"/>
          </w:tcPr>
          <w:p>
            <w:r>
              <w:rPr>
                <w:sz w:val="19"/>
              </w:rPr>
              <w:t>Ni l'une ni l'autre</w:t>
            </w:r>
          </w:p>
        </w:tc>
        <w:tc>
          <w:tcPr>
            <w:tcW w:type="dxa" w:w="3515"/>
          </w:tcPr>
          <w:p>
            <w:r>
              <w:rPr>
                <w:sz w:val="19"/>
              </w:rPr>
              <w:t>Constat + conseil de consulter un professionnel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💶 Le calcul des intérêts (indicatif, à faire valider)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192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Poste</w:t>
            </w:r>
          </w:p>
        </w:tc>
        <w:tc>
          <w:tcPr>
            <w:tcW w:type="dxa" w:w="408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Règle</w:t>
            </w:r>
          </w:p>
        </w:tc>
        <w:tc>
          <w:tcPr>
            <w:tcW w:type="dxa" w:w="362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Exemple (inventé) : INV-2026-017, 4 800 € TTC, 92 j de retard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</w:pPr>
            <w:r>
              <w:rPr>
                <w:b/>
                <w:sz w:val="19"/>
              </w:rPr>
              <w:t>Principal</w:t>
            </w:r>
          </w:p>
        </w:tc>
        <w:tc>
          <w:tcPr>
            <w:tcW w:type="dxa" w:w="4082"/>
          </w:tcPr>
          <w:p>
            <w:pPr>
              <w:keepNext/>
            </w:pPr>
            <w:r>
              <w:rPr>
                <w:sz w:val="19"/>
              </w:rPr>
              <w:t>Total TTC − acomptes prouvés</w:t>
            </w:r>
          </w:p>
        </w:tc>
        <w:tc>
          <w:tcPr>
            <w:tcW w:type="dxa" w:w="3628"/>
          </w:tcPr>
          <w:p>
            <w:pPr>
              <w:keepNext/>
            </w:pPr>
            <w:r>
              <w:rPr>
                <w:sz w:val="19"/>
              </w:rPr>
              <w:t>4 800,00 €</w:t>
            </w:r>
          </w:p>
        </w:tc>
      </w:tr>
      <w:tr>
        <w:trPr>
          <w:cantSplit/>
        </w:trPr>
        <w:tc>
          <w:tcPr>
            <w:tcW w:type="dxa" w:w="192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Intérêts de retard</w:t>
            </w:r>
          </w:p>
        </w:tc>
        <w:tc>
          <w:tcPr>
            <w:tcW w:type="dxa" w:w="4082"/>
            <w:shd w:val="clear" w:fill="F1EDFF"/>
          </w:tcPr>
          <w:p>
            <w:pPr>
              <w:keepNext/>
            </w:pPr>
            <w:r>
              <w:rPr>
                <w:sz w:val="19"/>
              </w:rPr>
              <w:t>Taux contractuel, sinon BCE + 10 pts (plancher 3× taux légal), du lendemain de l'échéance au dépôt, /365</w:t>
            </w:r>
          </w:p>
        </w:tc>
        <w:tc>
          <w:tcPr>
            <w:tcW w:type="dxa" w:w="3628"/>
            <w:shd w:val="clear" w:fill="F1EDFF"/>
          </w:tcPr>
          <w:p>
            <w:pPr>
              <w:keepNext/>
            </w:pPr>
            <w:r>
              <w:rPr>
                <w:sz w:val="19"/>
              </w:rPr>
              <w:t>4 800 × 12,15 % × 92/365 ≈ 147,00 € (taux illustratif)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</w:pPr>
            <w:r>
              <w:rPr>
                <w:b/>
                <w:sz w:val="19"/>
              </w:rPr>
              <w:t>Indemnité forfaitaire</w:t>
            </w:r>
          </w:p>
        </w:tc>
        <w:tc>
          <w:tcPr>
            <w:tcW w:type="dxa" w:w="4082"/>
          </w:tcPr>
          <w:p>
            <w:pPr>
              <w:keepNext/>
            </w:pPr>
            <w:r>
              <w:rPr>
                <w:sz w:val="19"/>
              </w:rPr>
              <w:t>40 € par facture (art. D441-5)</w:t>
            </w:r>
          </w:p>
        </w:tc>
        <w:tc>
          <w:tcPr>
            <w:tcW w:type="dxa" w:w="3628"/>
          </w:tcPr>
          <w:p>
            <w:pPr>
              <w:keepNext/>
            </w:pPr>
            <w:r>
              <w:rPr>
                <w:sz w:val="19"/>
              </w:rPr>
              <w:t>40,00 €</w:t>
            </w:r>
          </w:p>
        </w:tc>
      </w:tr>
      <w:tr>
        <w:trPr>
          <w:cantSplit/>
        </w:trPr>
        <w:tc>
          <w:tcPr>
            <w:tcW w:type="dxa" w:w="1928"/>
            <w:shd w:val="clear" w:fill="F1EDFF"/>
          </w:tcPr>
          <w:p>
            <w:r>
              <w:rPr>
                <w:b/>
                <w:sz w:val="19"/>
              </w:rPr>
              <w:t>Total réclamé</w:t>
            </w:r>
          </w:p>
        </w:tc>
        <w:tc>
          <w:tcPr>
            <w:tcW w:type="dxa" w:w="4082"/>
            <w:shd w:val="clear" w:fill="F1EDFF"/>
          </w:tcPr>
          <w:p>
            <w:r>
              <w:rPr>
                <w:sz w:val="19"/>
              </w:rPr>
              <w:t>Chaque ligne séparée sur le formulaire</w:t>
            </w:r>
          </w:p>
        </w:tc>
        <w:tc>
          <w:tcPr>
            <w:tcW w:type="dxa" w:w="3628"/>
            <w:shd w:val="clear" w:fill="F1EDFF"/>
          </w:tcPr>
          <w:p>
            <w:r>
              <w:rPr>
                <w:sz w:val="19"/>
              </w:rPr>
              <w:t>≈ 4 987,00 €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📤 Formats de sortie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Sortie</w:t>
            </w:r>
          </w:p>
        </w:tc>
        <w:tc>
          <w:tcPr>
            <w:tcW w:type="dxa" w:w="396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306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Quand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Réponse dans la conversation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Tableaux markdown : créance chiffrée, pré-remplissage CERFA champ→valeur, bordereau ✅/📋, bandeau de route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Toujours — c'est la base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Dossier imprimable</w:t>
            </w:r>
          </w:p>
        </w:tc>
        <w:tc>
          <w:tcPr>
            <w:tcW w:type="dxa" w:w="3969"/>
            <w:shd w:val="clear" w:fill="F1EDFF"/>
          </w:tcPr>
          <w:p>
            <w:pPr>
              <w:keepNext/>
            </w:pPr>
            <w:r>
              <w:rPr>
                <w:sz w:val="19"/>
              </w:rPr>
              <w:t>Fichier/artifact HTML : page de garde, calcul, CERFA pré-rempli, bordereau — à enregistrer en PDF</w:t>
            </w:r>
          </w:p>
        </w:tc>
        <w:tc>
          <w:tcPr>
            <w:tcW w:type="dxa" w:w="3061"/>
            <w:shd w:val="clear" w:fill="F1EDFF"/>
          </w:tcPr>
          <w:p>
            <w:pPr>
              <w:keepNext/>
            </w:pPr>
            <w:r>
              <w:rPr>
                <w:sz w:val="19"/>
              </w:rPr>
              <w:t>Si l'hôte affiche les fichiers ; repli sur tableaux sinon</w:t>
            </w:r>
          </w:p>
        </w:tc>
      </w:tr>
      <w:tr>
        <w:trPr>
          <w:cantSplit/>
        </w:trPr>
        <w:tc>
          <w:tcPr>
            <w:tcW w:type="dxa" w:w="2608"/>
          </w:tcPr>
          <w:p>
            <w:r>
              <w:rPr>
                <w:b/>
                <w:sz w:val="19"/>
              </w:rPr>
              <w:t>Pièces du bordereau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Justificatifs Qonto récupérés (get_attachment) + liste « à fournir »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À chaque dossier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🎬 Vidéo de démo</w:t>
      </w:r>
    </w:p>
    <w:p>
      <w:r>
        <w:rPr>
          <w:b w:val="0"/>
          <w:i w:val="0"/>
          <w:sz w:val="21"/>
        </w:rPr>
        <w:t>La démo ≤ 3 min jointe à la PR suit le storyboard : problème → preuve du non-paiement + vérification BODACC → calcul des intérêts + tribunal → le dossier complet prêt à signer → dépôt Infogreffe. Tous les chiffres montrés sont des exemples inventés. (Script de tournage conservé en interne, hors dépôt.)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💡 Améliorations possibles (dans les clous du hackathon)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476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Idée</w:t>
            </w:r>
          </w:p>
        </w:tc>
        <w:tc>
          <w:tcPr>
            <w:tcW w:type="dxa" w:w="147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Effort</w:t>
            </w:r>
          </w:p>
        </w:tc>
        <w:tc>
          <w:tcPr>
            <w:tcW w:type="dxa" w:w="340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Injonction de payer européenne (formulaire A, règlement 1896/2006)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Moyen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Pour les débiteurs dans un autre État membre — même moteur de calcul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Suivi post-dépôt : signification (6 mois) et opposition (1 mois)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Faible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Réutilise l'horloge de qonto-prescription-guard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Multi-factures : une requête par débiteur regroupant N factures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Faible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Le bordereau et le calcul savent déjà empiler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r>
              <w:rPr>
                <w:b/>
                <w:sz w:val="19"/>
              </w:rPr>
              <w:t>Brouillon d'email au greffe / au commissaire de justice (MCP email détecté)</w:t>
            </w:r>
          </w:p>
        </w:tc>
        <w:tc>
          <w:tcPr>
            <w:tcW w:type="dxa" w:w="1474"/>
            <w:shd w:val="clear" w:fill="F1EDFF"/>
          </w:tcPr>
          <w:p>
            <w:r>
              <w:rPr>
                <w:sz w:val="19"/>
              </w:rPr>
              <w:t>Faible</w:t>
            </w:r>
          </w:p>
        </w:tc>
        <w:tc>
          <w:tcPr>
            <w:tcW w:type="dxa" w:w="3402"/>
            <w:shd w:val="clear" w:fill="F1EDFF"/>
          </w:tcPr>
          <w:p>
            <w:r>
              <w:rPr>
                <w:sz w:val="19"/>
              </w:rPr>
              <w:t>Multi-MCP optionnel, dans l'esprit du kickoff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🛡 Garde-fous</w:t>
      </w:r>
    </w:p>
    <w:p>
      <w:pPr>
        <w:pStyle w:val="ListBullet"/>
        <w:spacing w:after="60"/>
      </w:pPr>
      <w:r>
        <w:rPr>
          <w:sz w:val="21"/>
        </w:rPr>
        <w:t>Pas un avis juridique — rappelé sur chaque dossier ; intérêts = calcul indicatif à faire valider (avocat, commissaire de justice, greffe)</w:t>
      </w:r>
    </w:p>
    <w:p>
      <w:pPr>
        <w:pStyle w:val="ListBullet"/>
        <w:spacing w:after="60"/>
      </w:pPr>
      <w:r>
        <w:rPr>
          <w:sz w:val="21"/>
        </w:rPr>
        <w:t>Zéro écriture : jamais présenté comme déposé, signifié ou obtenu — le skill s'arrête au dossier prêt à signer</w:t>
      </w:r>
    </w:p>
    <w:p>
      <w:pPr>
        <w:pStyle w:val="ListBullet"/>
        <w:spacing w:after="60"/>
      </w:pPr>
      <w:r>
        <w:rPr>
          <w:sz w:val="21"/>
        </w:rPr>
        <w:t>Débiteur en procédure collective → jamais d'injonction proposée ; réorientation systématique vers la déclaration de créance</w:t>
      </w:r>
    </w:p>
    <w:p>
      <w:pPr>
        <w:pStyle w:val="ListBullet"/>
        <w:spacing w:after="60"/>
      </w:pPr>
      <w:r>
        <w:rPr>
          <w:sz w:val="21"/>
        </w:rPr>
        <w:t>Créance contestée ou risque de prescription → signalé, jamais tu</w:t>
      </w:r>
    </w:p>
    <w:p>
      <w:pPr>
        <w:pStyle w:val="ListBullet"/>
        <w:spacing w:after="60"/>
      </w:pPr>
      <w:r>
        <w:rPr>
          <w:sz w:val="21"/>
        </w:rPr>
        <w:t>Procédure France uniquement ; ailleurs, dossier factuel sans formulaire</w:t>
      </w:r>
    </w:p>
    <w:p>
      <w:pPr>
        <w:pStyle w:val="ListBullet"/>
        <w:spacing w:after="60"/>
      </w:pPr>
      <w:r>
        <w:rPr>
          <w:sz w:val="21"/>
        </w:rPr>
        <w:t>IBAN masqués (4 derniers chiffres) · pagination ≤ 50 · exemples inventés (INV-YYYY-NNN)</w:t>
      </w:r>
    </w:p>
    <w:p>
      <w:pPr>
        <w:spacing w:before="360"/>
        <w:jc w:val="center"/>
      </w:pPr>
      <w:r>
        <w:rPr>
          <w:color w:val="5A5670"/>
          <w:sz w:val="17"/>
        </w:rPr>
        <w:t>qonto-injonction · Documentation FR (pilotage) · Hackathon Qonto × Anthropic MCP · juillet 2026 · Livrable PR : SKILL.md · Version jury : doc-qonto-injonction.en.docx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elvetica Neue" w:hAnsi="Helvetica Neue"/>
      <w:color w:val="1D1B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