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Menlo" w:hAnsi="Menlo"/>
          <w:b/>
          <w:color w:val="6B4EFF"/>
          <w:sz w:val="60"/>
        </w:rPr>
        <w:t>qonto-oss-navigator</w:t>
      </w:r>
    </w:p>
    <w:p>
      <w:pPr>
        <w:jc w:val="center"/>
      </w:pPr>
      <w:r>
        <w:rPr>
          <w:b/>
          <w:color w:val="1D1B29"/>
          <w:sz w:val="26"/>
        </w:rPr>
        <w:t>EU e-commerce VAT, before it catches up with you — the One-Stop Shop on a Qonto account</w:t>
      </w:r>
    </w:p>
    <w:p>
      <w:pPr>
        <w:spacing w:after="280"/>
        <w:jc w:val="center"/>
      </w:pPr>
      <w:r>
        <w:rPr>
          <w:color w:val="5A5670"/>
          <w:sz w:val="19"/>
        </w:rPr>
        <w:t>Qonto × Anthropic MCP Hackathon  ·  One-Stop Shop · 27 member states  ·  €10,000 threshold watched  ·  One optional write, behind SCA</w:t>
      </w:r>
    </w:p>
    <w:p>
      <w:pPr>
        <w:pBdr>
          <w:bottom w:val="single" w:sz="24" w:color="6B4EFF"/>
        </w:pBdr>
        <w:spacing w:after="200"/>
      </w:pPr>
    </w:p>
    <w:p>
      <w:pPr>
        <w:keepNext/>
        <w:spacing w:before="320" w:after="120"/>
      </w:pPr>
      <w:r>
        <w:rPr>
          <w:b/>
          <w:color w:val="4A30D9"/>
          <w:sz w:val="32"/>
        </w:rPr>
        <w:t>🎯 Why this matters</w:t>
      </w:r>
    </w:p>
    <w:p>
      <w:r>
        <w:rPr>
          <w:b w:val="0"/>
          <w:i w:val="0"/>
          <w:sz w:val="21"/>
        </w:rPr>
        <w:t>Past €10,000 of cross-border B2C sales to other EU countries in a year (one single threshold, ALL distance sales cumulated — not per country), VAT is due at the customer's country rate, declared through the One-Stop Shop. Most e-commerce sellers discover this too late. The skill turns a Qonto account into an OSS watchtower:</w:t>
      </w:r>
    </w:p>
    <w:p>
      <w:pPr>
        <w:pStyle w:val="ListBullet"/>
        <w:spacing w:after="60"/>
      </w:pPr>
      <w:r>
        <w:rPr>
          <w:sz w:val="21"/>
        </w:rPr>
        <w:t>1. Sales by shipping country — real order-level countries when the Shopify MCP is connected; otherwise inference from client invoices and Qonto payment data — announced as partial</w:t>
      </w:r>
    </w:p>
    <w:p>
      <w:pPr>
        <w:pStyle w:val="ListBullet"/>
        <w:spacing w:after="60"/>
      </w:pPr>
      <w:r>
        <w:rPr>
          <w:sz w:val="21"/>
        </w:rPr>
        <w:t>2. The €10,000 gauge — cumulated cross-border B2C sales this year (with the previous-year check): 'you're at X € of 10,000 €', crossing dated or estimated</w:t>
      </w:r>
    </w:p>
    <w:p>
      <w:pPr>
        <w:pStyle w:val="ListBullet"/>
        <w:spacing w:after="60"/>
      </w:pPr>
      <w:r>
        <w:rPr>
          <w:sz w:val="21"/>
        </w:rPr>
        <w:t>3. Quarterly OSS draft — country by country: net base, the customer country's rate (vintage-dated table for all 27 member states), VAT due, total, deadline and filing portal</w:t>
      </w:r>
    </w:p>
    <w:p>
      <w:pPr>
        <w:pStyle w:val="ListBullet"/>
        <w:spacing w:after="60"/>
      </w:pPr>
      <w:r>
        <w:rPr>
          <w:sz w:val="21"/>
        </w:rPr>
        <w:t>4. Optional provision — a transfer request to the tax sub-account; money moves only after the user's own SCA approval in the Qonto app</w:t>
      </w:r>
    </w:p>
    <w:p>
      <w:r>
        <w:rPr>
          <w:b/>
          <w:i w:val="0"/>
          <w:sz w:val="21"/>
        </w:rPr>
        <w:t>And intra-EU B2B sales (valid VAT number)? Excluded from OSS — reverse charge, reported separately, never mixed into the gauge. Would someone use this on a Monday morning? Every EU seller shipping abroad has this exact blind spot.</w:t>
      </w:r>
    </w:p>
    <w:p>
      <w:pPr>
        <w:keepNext/>
        <w:spacing w:before="320" w:after="120"/>
      </w:pPr>
      <w:r>
        <w:rPr>
          <w:b/>
          <w:color w:val="4A30D9"/>
          <w:sz w:val="32"/>
        </w:rPr>
        <w:t>📋 Prerequisites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</w:trPr>
        <w:tc>
          <w:tcPr>
            <w:tcW w:type="dxa" w:w="2381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Prerequisite</w:t>
            </w:r>
          </w:p>
        </w:tc>
        <w:tc>
          <w:tcPr>
            <w:tcW w:type="dxa" w:w="5443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Detail</w:t>
            </w:r>
          </w:p>
        </w:tc>
        <w:tc>
          <w:tcPr>
            <w:tcW w:type="dxa" w:w="1814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Required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keepNext/>
            </w:pPr>
            <w:r>
              <w:rPr>
                <w:b/>
                <w:sz w:val="19"/>
              </w:rPr>
              <w:t>Qonto production account</w:t>
            </w:r>
          </w:p>
        </w:tc>
        <w:tc>
          <w:tcPr>
            <w:tcW w:type="dxa" w:w="5443"/>
          </w:tcPr>
          <w:p>
            <w:pPr>
              <w:keepNext/>
            </w:pPr>
            <w:r>
              <w:rPr>
                <w:sz w:val="19"/>
              </w:rPr>
              <w:t>Adapts to any organization — get_organization first, nothing hardcoded</w:t>
            </w:r>
          </w:p>
        </w:tc>
        <w:tc>
          <w:tcPr>
            <w:tcW w:type="dxa" w:w="1814"/>
          </w:tcPr>
          <w:p>
            <w:pPr>
              <w:keepNext/>
            </w:pPr>
            <w:r>
              <w:rPr>
                <w:sz w:val="19"/>
              </w:rPr>
              <w:t>✅ Yes</w:t>
            </w:r>
          </w:p>
        </w:tc>
      </w:tr>
      <w:tr>
        <w:trPr>
          <w:cantSplit/>
        </w:trPr>
        <w:tc>
          <w:tcPr>
            <w:tcW w:type="dxa" w:w="2381"/>
            <w:shd w:val="clear" w:fill="F1EDFF"/>
          </w:tcPr>
          <w:p>
            <w:pPr>
              <w:keepNext/>
            </w:pPr>
            <w:r>
              <w:rPr>
                <w:b/>
                <w:sz w:val="19"/>
              </w:rPr>
              <w:t>Country</w:t>
            </w:r>
          </w:p>
        </w:tc>
        <w:tc>
          <w:tcPr>
            <w:tcW w:type="dxa" w:w="5443"/>
            <w:shd w:val="clear" w:fill="F1EDFF"/>
          </w:tcPr>
          <w:p>
            <w:pPr>
              <w:keepNext/>
            </w:pPr>
            <w:r>
              <w:rPr>
                <w:sz w:val="19"/>
              </w:rPr>
              <w:t>Designed for a seller established in the EU. Threshold and rates: EU-wide rules, valid for every Qonto country. Only the filing portal is national (France: impots.gouv.fr; Germany: BZSt; otherwise your national OSS portal)</w:t>
            </w:r>
          </w:p>
        </w:tc>
        <w:tc>
          <w:tcPr>
            <w:tcW w:type="dxa" w:w="1814"/>
            <w:shd w:val="clear" w:fill="F1EDFF"/>
          </w:tcPr>
          <w:p>
            <w:pPr>
              <w:keepNext/>
            </w:pPr>
            <w:r>
              <w:rPr>
                <w:sz w:val="19"/>
              </w:rPr>
              <w:t>ℹ️ Detected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keepNext/>
            </w:pPr>
            <w:r>
              <w:rPr>
                <w:b/>
                <w:sz w:val="19"/>
              </w:rPr>
              <w:t>Qonto MCP connected</w:t>
            </w:r>
          </w:p>
        </w:tc>
        <w:tc>
          <w:tcPr>
            <w:tcW w:type="dxa" w:w="5443"/>
          </w:tcPr>
          <w:p>
            <w:pPr>
              <w:keepNext/>
            </w:pPr>
            <w:r>
              <w:rPr>
                <w:sz w:val="19"/>
              </w:rPr>
              <w:t>Official connector (claude.ai / Claude Desktop), OAuth login</w:t>
            </w:r>
          </w:p>
        </w:tc>
        <w:tc>
          <w:tcPr>
            <w:tcW w:type="dxa" w:w="1814"/>
          </w:tcPr>
          <w:p>
            <w:pPr>
              <w:keepNext/>
            </w:pPr>
            <w:r>
              <w:rPr>
                <w:sz w:val="19"/>
              </w:rPr>
              <w:t>✅ Yes</w:t>
            </w:r>
          </w:p>
        </w:tc>
      </w:tr>
      <w:tr>
        <w:trPr>
          <w:cantSplit/>
        </w:trPr>
        <w:tc>
          <w:tcPr>
            <w:tcW w:type="dxa" w:w="2381"/>
            <w:shd w:val="clear" w:fill="F1EDFF"/>
          </w:tcPr>
          <w:p>
            <w:pPr>
              <w:keepNext/>
            </w:pPr>
            <w:r>
              <w:rPr>
                <w:b/>
                <w:sz w:val="19"/>
              </w:rPr>
              <w:t>Shopify MCP</w:t>
            </w:r>
          </w:p>
        </w:tc>
        <w:tc>
          <w:tcPr>
            <w:tcW w:type="dxa" w:w="5443"/>
            <w:shd w:val="clear" w:fill="F1EDFF"/>
          </w:tcPr>
          <w:p>
            <w:pPr>
              <w:keepNext/>
            </w:pPr>
            <w:r>
              <w:rPr>
                <w:sz w:val="19"/>
              </w:rPr>
              <w:t>Optional, detected dynamically: real shipping countries (list-orders, run-analytics-query). Absent → Qonto-only mode, announced as partial</w:t>
            </w:r>
          </w:p>
        </w:tc>
        <w:tc>
          <w:tcPr>
            <w:tcW w:type="dxa" w:w="1814"/>
            <w:shd w:val="clear" w:fill="F1EDFF"/>
          </w:tcPr>
          <w:p>
            <w:pPr>
              <w:keepNext/>
            </w:pPr>
            <w:r>
              <w:rPr>
                <w:sz w:val="19"/>
              </w:rPr>
              <w:t>⭕ Recommended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keepNext/>
            </w:pPr>
            <w:r>
              <w:rPr>
                <w:b/>
                <w:sz w:val="19"/>
              </w:rPr>
              <w:t>A “tax” sub-account</w:t>
            </w:r>
          </w:p>
        </w:tc>
        <w:tc>
          <w:tcPr>
            <w:tcW w:type="dxa" w:w="5443"/>
          </w:tcPr>
          <w:p>
            <w:pPr>
              <w:keepNext/>
            </w:pPr>
            <w:r>
              <w:rPr>
                <w:sz w:val="19"/>
              </w:rPr>
              <w:t>Created once in the Qonto app (the MCP has no account-creation tool). Detected by name: tax / taxe / impôt / TVA / OSS</w:t>
            </w:r>
          </w:p>
        </w:tc>
        <w:tc>
          <w:tcPr>
            <w:tcW w:type="dxa" w:w="1814"/>
          </w:tcPr>
          <w:p>
            <w:pPr>
              <w:keepNext/>
            </w:pPr>
            <w:r>
              <w:rPr>
                <w:sz w:val="19"/>
              </w:rPr>
              <w:t>⭕ Recommended</w:t>
            </w:r>
          </w:p>
        </w:tc>
      </w:tr>
      <w:tr>
        <w:trPr>
          <w:cantSplit/>
        </w:trPr>
        <w:tc>
          <w:tcPr>
            <w:tcW w:type="dxa" w:w="2381"/>
            <w:shd w:val="clear" w:fill="F1EDFF"/>
          </w:tcPr>
          <w:p>
            <w:r>
              <w:rPr>
                <w:b/>
                <w:sz w:val="19"/>
              </w:rPr>
              <w:t>Cross-border EU sales</w:t>
            </w:r>
          </w:p>
        </w:tc>
        <w:tc>
          <w:tcPr>
            <w:tcW w:type="dxa" w:w="5443"/>
            <w:shd w:val="clear" w:fill="F1EDFF"/>
          </w:tcPr>
          <w:p>
            <w:r>
              <w:rPr>
                <w:sz w:val="19"/>
              </w:rPr>
              <w:t>No B2C sales to other EU countries → the skill says so and stops — no invented gauge</w:t>
            </w:r>
          </w:p>
        </w:tc>
        <w:tc>
          <w:tcPr>
            <w:tcW w:type="dxa" w:w="1814"/>
            <w:shd w:val="clear" w:fill="F1EDFF"/>
          </w:tcPr>
          <w:p>
            <w:r>
              <w:rPr>
                <w:sz w:val="19"/>
              </w:rPr>
              <w:t>ℹ️ Detected</w:t>
            </w:r>
          </w:p>
        </w:tc>
      </w:tr>
    </w:tbl>
    <w:p>
      <w:pPr>
        <w:spacing w:after="40"/>
      </w:pPr>
    </w:p>
    <w:p>
      <w:pPr>
        <w:keepNext/>
        <w:spacing w:before="320" w:after="120"/>
      </w:pPr>
      <w:r>
        <w:rPr>
          <w:b/>
          <w:color w:val="4A30D9"/>
          <w:sz w:val="32"/>
        </w:rPr>
        <w:t>⚙️ How it works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20000" cy="327103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.e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2710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A5670"/>
          <w:sz w:val="17"/>
        </w:rPr>
        <w:t>Diagram 1 — How it works, 6 steps (one optional write, behind SCA)</w:t>
      </w:r>
    </w:p>
    <w:p>
      <w:pPr>
        <w:keepNext/>
        <w:spacing w:before="200" w:after="120"/>
      </w:pPr>
      <w:r>
        <w:rPr>
          <w:b/>
          <w:color w:val="6B4EFF"/>
          <w:sz w:val="25"/>
        </w:rPr>
        <w:t>Holds up on messy data</w:t>
      </w:r>
    </w:p>
    <w:p>
      <w:pPr>
        <w:pStyle w:val="ListBullet"/>
        <w:spacing w:after="60"/>
      </w:pPr>
      <w:r>
        <w:rPr>
          <w:sz w:val="21"/>
        </w:rPr>
        <w:t>Mode stated up front: Shopify connected → real countries per order; otherwise Qonto-only — client invoices, currency hints (SEK, PLN, DKK, CZK, HUF, RON, BGN) — partial coverage announced, the gauge presented as a floor</w:t>
      </w:r>
    </w:p>
    <w:p>
      <w:pPr>
        <w:pStyle w:val="ListBullet"/>
        <w:spacing w:after="60"/>
      </w:pPr>
      <w:r>
        <w:rPr>
          <w:sz w:val="21"/>
        </w:rPr>
        <w:t>PSP payouts (Shopify Payments, Stripe, PayPal…) aggregate orders and hide the country: the skill says so instead of pretending</w:t>
      </w:r>
    </w:p>
    <w:p>
      <w:pPr>
        <w:pStyle w:val="ListBullet"/>
        <w:spacing w:after="60"/>
      </w:pPr>
      <w:r>
        <w:rPr>
          <w:sz w:val="21"/>
        </w:rPr>
        <w:t>Intra-EU B2B isolated: valid customer VAT number → reverse charge, out of the gauge and the draft, listed separately</w:t>
      </w:r>
    </w:p>
    <w:p>
      <w:pPr>
        <w:pStyle w:val="ListBullet"/>
        <w:spacing w:after="60"/>
      </w:pPr>
      <w:r>
        <w:rPr>
          <w:sz w:val="21"/>
        </w:rPr>
        <w:t>Domestic sales (→ domestic VAT, see qonto-vat-return) and non-EU exports excluded from the computation</w:t>
      </w:r>
    </w:p>
    <w:p>
      <w:pPr>
        <w:pStyle w:val="ListBullet"/>
        <w:spacing w:after="60"/>
      </w:pPr>
      <w:r>
        <w:rPr>
          <w:sz w:val="21"/>
        </w:rPr>
        <w:t>Invoice without a country or VAT number → counted as 'unattributed', disclosed, never guessed</w:t>
      </w:r>
    </w:p>
    <w:p>
      <w:pPr>
        <w:pStyle w:val="ListBullet"/>
        <w:spacing w:after="60"/>
      </w:pPr>
      <w:r>
        <w:rPr>
          <w:sz w:val="21"/>
        </w:rPr>
        <w:t>Seller established outside the EU → the skill says the scheme differs and stops estimating · pagination ≤ 50 everywhere</w:t>
      </w:r>
    </w:p>
    <w:p>
      <w:r>
        <w:br w:type="page"/>
      </w:r>
    </w:p>
    <w:p>
      <w:pPr>
        <w:keepNext/>
        <w:spacing w:before="320" w:after="120"/>
      </w:pPr>
      <w:r>
        <w:rPr>
          <w:b/>
          <w:color w:val="4A30D9"/>
          <w:sz w:val="32"/>
        </w:rPr>
        <w:t>🏗 Functional diagram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20000" cy="337655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unctional.e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3765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A5670"/>
          <w:sz w:val="17"/>
        </w:rPr>
        <w:t>Diagram 2 — Actors and flows: risk-free reads (solid), write behind consent + SCA (dashed)</w:t>
      </w:r>
    </w:p>
    <w:p>
      <w:r>
        <w:rPr>
          <w:b/>
          <w:i w:val="0"/>
          <w:sz w:val="21"/>
        </w:rPr>
        <w:t>🔒 The security model, not a limitation: reads are risk-free; the write requires explicit consent in the conversation and only produces a request. The account holder's own SCA (2FA), in the Qonto app, is what moves money. Neither Claude nor the MCP can.</w:t>
      </w:r>
    </w:p>
    <w:p>
      <w:pPr>
        <w:keepNext/>
        <w:spacing w:before="320" w:after="120"/>
      </w:pPr>
      <w:r>
        <w:rPr>
          <w:b/>
          <w:color w:val="4A30D9"/>
          <w:sz w:val="32"/>
        </w:rPr>
        <w:t>📅 OSS reference (the rules the skill applies)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</w:trPr>
        <w:tc>
          <w:tcPr>
            <w:tcW w:type="dxa" w:w="2041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Rule</w:t>
            </w:r>
          </w:p>
        </w:tc>
        <w:tc>
          <w:tcPr>
            <w:tcW w:type="dxa" w:w="7597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Detail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keepNext/>
            </w:pPr>
            <w:r>
              <w:rPr>
                <w:b/>
                <w:sz w:val="19"/>
              </w:rPr>
              <w:t>Single threshold</w:t>
            </w:r>
          </w:p>
        </w:tc>
        <w:tc>
          <w:tcPr>
            <w:tcW w:type="dxa" w:w="7597"/>
          </w:tcPr>
          <w:p>
            <w:pPr>
              <w:keepNext/>
            </w:pPr>
            <w:r>
              <w:rPr>
                <w:sz w:val="19"/>
              </w:rPr>
              <w:t>€10,000 net / calendar year, ALL intra-EU cross-border B2C distance sales cumulated (goods + digital TBE services) — assessed on the current AND the previous calendar year</w:t>
            </w:r>
          </w:p>
        </w:tc>
      </w:tr>
      <w:tr>
        <w:trPr>
          <w:cantSplit/>
        </w:trPr>
        <w:tc>
          <w:tcPr>
            <w:tcW w:type="dxa" w:w="2041"/>
            <w:shd w:val="clear" w:fill="F1EDFF"/>
          </w:tcPr>
          <w:p>
            <w:pPr>
              <w:keepNext/>
            </w:pPr>
            <w:r>
              <w:rPr>
                <w:b/>
                <w:sz w:val="19"/>
              </w:rPr>
              <w:t>Below</w:t>
            </w:r>
          </w:p>
        </w:tc>
        <w:tc>
          <w:tcPr>
            <w:tcW w:type="dxa" w:w="7597"/>
            <w:shd w:val="clear" w:fill="F1EDFF"/>
          </w:tcPr>
          <w:p>
            <w:pPr>
              <w:keepNext/>
            </w:pPr>
            <w:r>
              <w:rPr>
                <w:sz w:val="19"/>
              </w:rPr>
              <w:t>Home-country VAT allowed (voluntary OSS opt-in possible, binds for 2 years)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keepNext/>
            </w:pPr>
            <w:r>
              <w:rPr>
                <w:b/>
                <w:sz w:val="19"/>
              </w:rPr>
              <w:t>Above</w:t>
            </w:r>
          </w:p>
        </w:tc>
        <w:tc>
          <w:tcPr>
            <w:tcW w:type="dxa" w:w="7597"/>
          </w:tcPr>
          <w:p>
            <w:pPr>
              <w:keepNext/>
            </w:pPr>
            <w:r>
              <w:rPr>
                <w:sz w:val="19"/>
              </w:rPr>
              <w:t>VAT at the customer's country rate, from the transaction that crosses it — country-by-country registration OR the One-Stop Shop</w:t>
            </w:r>
          </w:p>
        </w:tc>
      </w:tr>
      <w:tr>
        <w:trPr>
          <w:cantSplit/>
        </w:trPr>
        <w:tc>
          <w:tcPr>
            <w:tcW w:type="dxa" w:w="2041"/>
            <w:shd w:val="clear" w:fill="F1EDFF"/>
          </w:tcPr>
          <w:p>
            <w:pPr>
              <w:keepNext/>
            </w:pPr>
            <w:r>
              <w:rPr>
                <w:b/>
                <w:sz w:val="19"/>
              </w:rPr>
              <w:t>OSS return</w:t>
            </w:r>
          </w:p>
        </w:tc>
        <w:tc>
          <w:tcPr>
            <w:tcW w:type="dxa" w:w="7597"/>
            <w:shd w:val="clear" w:fill="F1EDFF"/>
          </w:tcPr>
          <w:p>
            <w:pPr>
              <w:keepNext/>
            </w:pPr>
            <w:r>
              <w:rPr>
                <w:sz w:val="19"/>
              </w:rPr>
              <w:t>Quarterly, filed by the end of the month following the quarter: 30/04 · 31/07 · 31/10 · 31/01 — corrections of past quarters go into the current return; non-euro currencies at the ECB last-day-of-quarter rate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keepNext/>
            </w:pPr>
            <w:r>
              <w:rPr>
                <w:b/>
                <w:sz w:val="19"/>
              </w:rPr>
              <w:t>Exclusions</w:t>
            </w:r>
          </w:p>
        </w:tc>
        <w:tc>
          <w:tcPr>
            <w:tcW w:type="dxa" w:w="7597"/>
          </w:tcPr>
          <w:p>
            <w:pPr>
              <w:keepNext/>
            </w:pPr>
            <w:r>
              <w:rPr>
                <w:sz w:val="19"/>
              </w:rPr>
              <w:t>Domestic sales (→ qonto-vat-return) · intra-EU B2B (reverse charge, EC sales list — not OSS) · non-EU exports</w:t>
            </w:r>
          </w:p>
        </w:tc>
      </w:tr>
      <w:tr>
        <w:trPr>
          <w:cantSplit/>
        </w:trPr>
        <w:tc>
          <w:tcPr>
            <w:tcW w:type="dxa" w:w="2041"/>
            <w:shd w:val="clear" w:fill="F1EDFF"/>
          </w:tcPr>
          <w:p>
            <w:r>
              <w:rPr>
                <w:b/>
                <w:sz w:val="19"/>
              </w:rPr>
              <w:t>Rates 2026-07</w:t>
            </w:r>
          </w:p>
        </w:tc>
        <w:tc>
          <w:tcPr>
            <w:tcW w:type="dxa" w:w="7597"/>
            <w:shd w:val="clear" w:fill="F1EDFF"/>
          </w:tcPr>
          <w:p>
            <w:r>
              <w:rPr>
                <w:sz w:val="19"/>
              </w:rPr>
              <w:t>17% LU · 18% MT · 19% DE, CY · 20% AT, BG, FR · 21% BE, CZ, ES, LT, LV, NL, RO · 22% IT, SI · 23% IE, PL, PT, SK · 24% EE, EL · 25% DK, HR, SE · 25.5% FI · 27% HU — verify before filing</w:t>
            </w:r>
          </w:p>
        </w:tc>
      </w:tr>
    </w:tbl>
    <w:p>
      <w:pPr>
        <w:spacing w:after="40"/>
      </w:pPr>
    </w:p>
    <w:p>
      <w:r>
        <w:rPr>
          <w:b/>
          <w:i w:val="0"/>
          <w:sz w:val="21"/>
        </w:rPr>
        <w:t>✨ The 'it just works' moment: "EU B2C sales: you're at €8,420 of €10,000 — estimated crossing in October at the current pace. Here's your OSS draft for the quarter, country by country, and the €612 provision to set aside." (invented figures)</w:t>
      </w:r>
    </w:p>
    <w:p>
      <w:pPr>
        <w:keepNext/>
        <w:spacing w:before="320" w:after="120"/>
      </w:pPr>
      <w:r>
        <w:rPr>
          <w:b/>
          <w:color w:val="4A30D9"/>
          <w:sz w:val="32"/>
        </w:rPr>
        <w:t>📤 Output formats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</w:trPr>
        <w:tc>
          <w:tcPr>
            <w:tcW w:type="dxa" w:w="2608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Output</w:t>
            </w:r>
          </w:p>
        </w:tc>
        <w:tc>
          <w:tcPr>
            <w:tcW w:type="dxa" w:w="3969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Format</w:t>
            </w:r>
          </w:p>
        </w:tc>
        <w:tc>
          <w:tcPr>
            <w:tcW w:type="dxa" w:w="3061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When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keepNext/>
            </w:pPr>
            <w:r>
              <w:rPr>
                <w:b/>
                <w:sz w:val="19"/>
              </w:rPr>
              <w:t>Conversation reply</w:t>
            </w:r>
          </w:p>
        </w:tc>
        <w:tc>
          <w:tcPr>
            <w:tcW w:type="dxa" w:w="3969"/>
          </w:tcPr>
          <w:p>
            <w:pPr>
              <w:keepNext/>
            </w:pPr>
            <w:r>
              <w:rPr>
                <w:sz w:val="19"/>
              </w:rPr>
              <w:t>Markdown tables (gauge, country-by-country draft, excluded flows)</w:t>
            </w:r>
          </w:p>
        </w:tc>
        <w:tc>
          <w:tcPr>
            <w:tcW w:type="dxa" w:w="3061"/>
          </w:tcPr>
          <w:p>
            <w:pPr>
              <w:keepNext/>
            </w:pPr>
            <w:r>
              <w:rPr>
                <w:sz w:val="19"/>
              </w:rPr>
              <w:t>Always — the baseline</w:t>
            </w:r>
          </w:p>
        </w:tc>
      </w:tr>
      <w:tr>
        <w:trPr>
          <w:cantSplit/>
        </w:trPr>
        <w:tc>
          <w:tcPr>
            <w:tcW w:type="dxa" w:w="2608"/>
            <w:shd w:val="clear" w:fill="F1EDFF"/>
          </w:tcPr>
          <w:p>
            <w:pPr>
              <w:keepNext/>
            </w:pPr>
            <w:r>
              <w:rPr>
                <w:b/>
                <w:sz w:val="19"/>
              </w:rPr>
              <w:t>Interactive dashboard</w:t>
            </w:r>
          </w:p>
        </w:tc>
        <w:tc>
          <w:tcPr>
            <w:tcW w:type="dxa" w:w="3969"/>
            <w:shd w:val="clear" w:fill="F1EDFF"/>
          </w:tcPr>
          <w:p>
            <w:pPr>
              <w:keepNext/>
            </w:pPr>
            <w:r>
              <w:rPr>
                <w:sz w:val="19"/>
              </w:rPr>
              <w:t>HTML file/artifact: gauge bar, per-country table, quarter timeline</w:t>
            </w:r>
          </w:p>
        </w:tc>
        <w:tc>
          <w:tcPr>
            <w:tcW w:type="dxa" w:w="3061"/>
            <w:shd w:val="clear" w:fill="F1EDFF"/>
          </w:tcPr>
          <w:p>
            <w:pPr>
              <w:keepNext/>
            </w:pPr>
            <w:r>
              <w:rPr>
                <w:sz w:val="19"/>
              </w:rPr>
              <w:t>When the host renders files; fallback to tables</w:t>
            </w:r>
          </w:p>
        </w:tc>
      </w:tr>
      <w:tr>
        <w:trPr>
          <w:cantSplit/>
        </w:trPr>
        <w:tc>
          <w:tcPr>
            <w:tcW w:type="dxa" w:w="2608"/>
          </w:tcPr>
          <w:p>
            <w:r>
              <w:rPr>
                <w:b/>
                <w:sz w:val="19"/>
              </w:rPr>
              <w:t>Qonto request note</w:t>
            </w:r>
          </w:p>
        </w:tc>
        <w:tc>
          <w:tcPr>
            <w:tcW w:type="dxa" w:w="3969"/>
          </w:tcPr>
          <w:p>
            <w:r>
              <w:rPr>
                <w:sz w:val="19"/>
              </w:rPr>
              <w:t>Country-by-country breakdown attached to the request, visible at SCA approval</w:t>
            </w:r>
          </w:p>
        </w:tc>
        <w:tc>
          <w:tcPr>
            <w:tcW w:type="dxa" w:w="3061"/>
          </w:tcPr>
          <w:p>
            <w:r>
              <w:rPr>
                <w:sz w:val="19"/>
              </w:rPr>
              <w:t>Every provision created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keepNext/>
        <w:spacing w:before="320" w:after="120"/>
      </w:pPr>
      <w:r>
        <w:rPr>
          <w:b/>
          <w:color w:val="4A30D9"/>
          <w:sz w:val="32"/>
        </w:rPr>
        <w:t>🎬 Demo video</w:t>
      </w:r>
    </w:p>
    <w:p>
      <w:r>
        <w:rPr>
          <w:b w:val="0"/>
          <w:i w:val="0"/>
          <w:sz w:val="21"/>
        </w:rPr>
        <w:t>The ≤ 3-minute demo attached to the PR walks through: the threshold trap → the gauge → the country-by-country OSS draft → the provision + SCA approval filmed on a phone → the dashboard. It runs live on a real production account.</w:t>
      </w:r>
    </w:p>
    <w:p>
      <w:pPr>
        <w:keepNext/>
        <w:spacing w:before="320" w:after="120"/>
      </w:pPr>
      <w:r>
        <w:rPr>
          <w:b/>
          <w:color w:val="4A30D9"/>
          <w:sz w:val="32"/>
        </w:rPr>
        <w:t>💡 Roadmap ideas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</w:trPr>
        <w:tc>
          <w:tcPr>
            <w:tcW w:type="dxa" w:w="4762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Idea</w:t>
            </w:r>
          </w:p>
        </w:tc>
        <w:tc>
          <w:tcPr>
            <w:tcW w:type="dxa" w:w="1474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Effort</w:t>
            </w:r>
          </w:p>
        </w:tc>
        <w:tc>
          <w:tcPr>
            <w:tcW w:type="dxa" w:w="3402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Note</w:t>
            </w:r>
          </w:p>
        </w:tc>
      </w:tr>
      <w:tr>
        <w:trPr>
          <w:cantSplit/>
        </w:trPr>
        <w:tc>
          <w:tcPr>
            <w:tcW w:type="dxa" w:w="4762"/>
          </w:tcPr>
          <w:p>
            <w:pPr>
              <w:keepNext/>
            </w:pPr>
            <w:r>
              <w:rPr>
                <w:b/>
                <w:sz w:val="19"/>
              </w:rPr>
              <w:t>IOSS (imports ≤ €150)</w:t>
            </w:r>
          </w:p>
        </w:tc>
        <w:tc>
          <w:tcPr>
            <w:tcW w:type="dxa" w:w="1474"/>
          </w:tcPr>
          <w:p>
            <w:pPr>
              <w:keepNext/>
            </w:pPr>
            <w:r>
              <w:rPr>
                <w:sz w:val="19"/>
              </w:rPr>
              <w:t>Medium</w:t>
            </w:r>
          </w:p>
        </w:tc>
        <w:tc>
          <w:tcPr>
            <w:tcW w:type="dxa" w:w="3402"/>
          </w:tcPr>
          <w:p>
            <w:pPr>
              <w:keepNext/>
            </w:pPr>
            <w:r>
              <w:rPr>
                <w:sz w:val="19"/>
              </w:rPr>
              <w:t>The import twin of the One-Stop Shop — same engine, different scheme</w:t>
            </w:r>
          </w:p>
        </w:tc>
      </w:tr>
      <w:tr>
        <w:trPr>
          <w:cantSplit/>
        </w:trPr>
        <w:tc>
          <w:tcPr>
            <w:tcW w:type="dxa" w:w="4762"/>
            <w:shd w:val="clear" w:fill="F1EDFF"/>
          </w:tcPr>
          <w:p>
            <w:pPr>
              <w:keepNext/>
            </w:pPr>
            <w:r>
              <w:rPr>
                <w:b/>
                <w:sz w:val="19"/>
              </w:rPr>
              <w:t>Reduced rates by product category</w:t>
            </w:r>
          </w:p>
        </w:tc>
        <w:tc>
          <w:tcPr>
            <w:tcW w:type="dxa" w:w="1474"/>
            <w:shd w:val="clear" w:fill="F1EDFF"/>
          </w:tcPr>
          <w:p>
            <w:pPr>
              <w:keepNext/>
            </w:pPr>
            <w:r>
              <w:rPr>
                <w:sz w:val="19"/>
              </w:rPr>
              <w:t>Medium</w:t>
            </w:r>
          </w:p>
        </w:tc>
        <w:tc>
          <w:tcPr>
            <w:tcW w:type="dxa" w:w="3402"/>
            <w:shd w:val="clear" w:fill="F1EDFF"/>
          </w:tcPr>
          <w:p>
            <w:pPr>
              <w:keepNext/>
            </w:pPr>
            <w:r>
              <w:rPr>
                <w:sz w:val="19"/>
              </w:rPr>
              <w:t>Cross Shopify products with each country's reduced-rate categories</w:t>
            </w:r>
          </w:p>
        </w:tc>
      </w:tr>
      <w:tr>
        <w:trPr>
          <w:cantSplit/>
        </w:trPr>
        <w:tc>
          <w:tcPr>
            <w:tcW w:type="dxa" w:w="4762"/>
          </w:tcPr>
          <w:p>
            <w:pPr>
              <w:keepNext/>
            </w:pPr>
            <w:r>
              <w:rPr>
                <w:b/>
                <w:sz w:val="19"/>
              </w:rPr>
              <w:t>OSS deadline reminders in the calendar (calendar MCP detected dynamically)</w:t>
            </w:r>
          </w:p>
        </w:tc>
        <w:tc>
          <w:tcPr>
            <w:tcW w:type="dxa" w:w="1474"/>
          </w:tcPr>
          <w:p>
            <w:pPr>
              <w:keepNext/>
            </w:pPr>
            <w:r>
              <w:rPr>
                <w:sz w:val="19"/>
              </w:rPr>
              <w:t>Low</w:t>
            </w:r>
          </w:p>
        </w:tc>
        <w:tc>
          <w:tcPr>
            <w:tcW w:type="dxa" w:w="3402"/>
          </w:tcPr>
          <w:p>
            <w:pPr>
              <w:keepNext/>
            </w:pPr>
            <w:r>
              <w:rPr>
                <w:sz w:val="19"/>
              </w:rPr>
              <w:t>Optional multi-MCP enrichment, in the spirit of the kickoff</w:t>
            </w:r>
          </w:p>
        </w:tc>
      </w:tr>
      <w:tr>
        <w:trPr>
          <w:cantSplit/>
        </w:trPr>
        <w:tc>
          <w:tcPr>
            <w:tcW w:type="dxa" w:w="4762"/>
            <w:shd w:val="clear" w:fill="F1EDFF"/>
          </w:tcPr>
          <w:p>
            <w:pPr>
              <w:keepNext/>
            </w:pPr>
            <w:r>
              <w:rPr>
                <w:b/>
                <w:sz w:val="19"/>
              </w:rPr>
              <w:t>Quarter-by-quarter gauge history</w:t>
            </w:r>
          </w:p>
        </w:tc>
        <w:tc>
          <w:tcPr>
            <w:tcW w:type="dxa" w:w="1474"/>
            <w:shd w:val="clear" w:fill="F1EDFF"/>
          </w:tcPr>
          <w:p>
            <w:pPr>
              <w:keepNext/>
            </w:pPr>
            <w:r>
              <w:rPr>
                <w:sz w:val="19"/>
              </w:rPr>
              <w:t>Low</w:t>
            </w:r>
          </w:p>
        </w:tc>
        <w:tc>
          <w:tcPr>
            <w:tcW w:type="dxa" w:w="3402"/>
            <w:shd w:val="clear" w:fill="F1EDFF"/>
          </w:tcPr>
          <w:p>
            <w:pPr>
              <w:keepNext/>
            </w:pPr>
            <w:r>
              <w:rPr>
                <w:sz w:val="19"/>
              </w:rPr>
              <w:t>Reuses the existing scan windows</w:t>
            </w:r>
          </w:p>
        </w:tc>
      </w:tr>
      <w:tr>
        <w:trPr>
          <w:cantSplit/>
        </w:trPr>
        <w:tc>
          <w:tcPr>
            <w:tcW w:type="dxa" w:w="4762"/>
          </w:tcPr>
          <w:p>
            <w:r>
              <w:rPr>
                <w:b/>
                <w:sz w:val="19"/>
              </w:rPr>
              <w:t>WooCommerce / other order sources</w:t>
            </w:r>
          </w:p>
        </w:tc>
        <w:tc>
          <w:tcPr>
            <w:tcW w:type="dxa" w:w="1474"/>
          </w:tcPr>
          <w:p>
            <w:r>
              <w:rPr>
                <w:sz w:val="19"/>
              </w:rPr>
              <w:t>Medium</w:t>
            </w:r>
          </w:p>
        </w:tc>
        <w:tc>
          <w:tcPr>
            <w:tcW w:type="dxa" w:w="3402"/>
          </w:tcPr>
          <w:p>
            <w:r>
              <w:rPr>
                <w:sz w:val="19"/>
              </w:rPr>
              <w:t>Same interface: 'shipping country per order'</w:t>
            </w:r>
          </w:p>
        </w:tc>
      </w:tr>
    </w:tbl>
    <w:p>
      <w:pPr>
        <w:spacing w:after="40"/>
      </w:pPr>
    </w:p>
    <w:p>
      <w:pPr>
        <w:keepNext/>
        <w:spacing w:before="320" w:after="120"/>
      </w:pPr>
      <w:r>
        <w:rPr>
          <w:b/>
          <w:color w:val="4A30D9"/>
          <w:sz w:val="32"/>
        </w:rPr>
        <w:t>🛡 Guardrails</w:t>
      </w:r>
    </w:p>
    <w:p>
      <w:pPr>
        <w:pStyle w:val="ListBullet"/>
        <w:spacing w:after="60"/>
      </w:pPr>
      <w:r>
        <w:rPr>
          <w:sz w:val="21"/>
        </w:rPr>
        <w:t>Preparation aid, NOT a filing: the OSS return is filed on the national portal; accountant validation recommended in every report</w:t>
      </w:r>
    </w:p>
    <w:p>
      <w:pPr>
        <w:pStyle w:val="ListBullet"/>
        <w:spacing w:after="60"/>
      </w:pPr>
      <w:r>
        <w:rPr>
          <w:sz w:val="21"/>
        </w:rPr>
        <w:t>The rate table carries its vintage (2026-07) and must be verified before filing; reduced rates asked about, never guessed</w:t>
      </w:r>
    </w:p>
    <w:p>
      <w:pPr>
        <w:pStyle w:val="ListBullet"/>
        <w:spacing w:after="60"/>
      </w:pPr>
      <w:r>
        <w:rPr>
          <w:sz w:val="21"/>
        </w:rPr>
        <w:t>Intra-EU B2B excluded from OSS (reverse charge) — reported separately, never in the gauge</w:t>
      </w:r>
    </w:p>
    <w:p>
      <w:pPr>
        <w:pStyle w:val="ListBullet"/>
        <w:spacing w:after="60"/>
      </w:pPr>
      <w:r>
        <w:rPr>
          <w:sz w:val="21"/>
        </w:rPr>
        <w:t>Qonto-only inference announced as partial (a floor); never an invented country breakdown</w:t>
      </w:r>
    </w:p>
    <w:p>
      <w:pPr>
        <w:pStyle w:val="ListBullet"/>
        <w:spacing w:after="60"/>
      </w:pPr>
      <w:r>
        <w:rPr>
          <w:sz w:val="21"/>
        </w:rPr>
        <w:t>NEVER creates a transfer request without explicit confirmation; never presented as executed — pending the user's SCA approval</w:t>
      </w:r>
    </w:p>
    <w:p>
      <w:pPr>
        <w:pStyle w:val="ListBullet"/>
        <w:spacing w:after="60"/>
      </w:pPr>
      <w:r>
        <w:rPr>
          <w:sz w:val="21"/>
        </w:rPr>
        <w:t>Masked IBANs (last 4 digits) · pagination ≤ 50 · rehearsals: decline_request after each test (request_type “multi_transfers”, plural)</w:t>
      </w:r>
    </w:p>
    <w:p>
      <w:pPr>
        <w:spacing w:before="360"/>
        <w:jc w:val="center"/>
      </w:pPr>
      <w:r>
        <w:rPr>
          <w:color w:val="5A5670"/>
          <w:sz w:val="17"/>
        </w:rPr>
        <w:t>qonto-oss-navigator · English documentation · Qonto × Anthropic MCP Hackathon · July 2026 · PR deliverable: SKILL.md · French version: doc-qonto-oss-navigator.fr.docx · See also: qonto-vat-return · qonto-tax-pilot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Helvetica Neue" w:hAnsi="Helvetica Neue"/>
      <w:color w:val="1D1B29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