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qonto-supplier-detective</w:t>
      </w:r>
    </w:p>
    <w:p>
      <w:pPr>
        <w:jc w:val="center"/>
      </w:pPr>
      <w:r>
        <w:rPr>
          <w:b/>
          <w:color w:val="1D1B29"/>
          <w:sz w:val="26"/>
        </w:rPr>
        <w:t>Le détective des factures fournisseurs — doublons, payés-deux-fois, écarts et changements d'IBAN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#13  ·  100 % lecture, zéro écriture  ·  Vigie IBAN anti-fraude au RIB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En PME, une fraction des paiements fournisseurs sont des erreurs — doublons, payés-deux-fois, trop-versés — et personne ne va jamais les chercher. Le skill balaie toutes les factures fournisseurs et tous les débits, et traque 4 anomalies :</w:t>
      </w:r>
    </w:p>
    <w:p>
      <w:pPr>
        <w:pStyle w:val="ListBullet"/>
        <w:spacing w:after="60"/>
      </w:pPr>
      <w:r>
        <w:rPr>
          <w:sz w:val="21"/>
        </w:rPr>
        <w:t>1. Doublons de factures — même fournisseur + même montant à quelques jours, ou même numéro de facture ; signal natif has_duplicates vérifié ; abonnements écartés par détection de cadence (même montant chaque mois ≠ doublon !)</w:t>
      </w:r>
    </w:p>
    <w:p>
      <w:pPr>
        <w:pStyle w:val="ListBullet"/>
        <w:spacing w:after="60"/>
      </w:pPr>
      <w:r>
        <w:rPr>
          <w:sz w:val="21"/>
        </w:rPr>
        <w:t>2. Payés-deux-fois — 1 facture, 2 débits : le signal qui rapporte. Paiements partiels et acomptes reconnus légitimes (la somme des débits = le montant facturé, pas 2×)</w:t>
      </w:r>
    </w:p>
    <w:p>
      <w:pPr>
        <w:pStyle w:val="ListBullet"/>
        <w:spacing w:after="60"/>
      </w:pPr>
      <w:r>
        <w:rPr>
          <w:sz w:val="21"/>
        </w:rPr>
        <w:t>3. Écarts facture ↔ paiement — payé plus que facturé au-delà de l'arrondi ; avoirs et remboursements vérifiés avant de conclure</w:t>
      </w:r>
    </w:p>
    <w:p>
      <w:pPr>
        <w:pStyle w:val="ListBullet"/>
        <w:spacing w:after="60"/>
      </w:pPr>
      <w:r>
        <w:rPr>
          <w:sz w:val="21"/>
        </w:rPr>
        <w:t>4. Vigie IBAN 🚨 — un fournisseur connu qui change d'IBAN = alerte sécurité en tête de rapport : pattern n°1 de la fraude au RIB. Consigne : vérifier par téléphone au numéro connu — jamais celui de l'email</w:t>
      </w:r>
    </w:p>
    <w:p>
      <w:r>
        <w:rPr>
          <w:b w:val="0"/>
          <w:i w:val="0"/>
          <w:sz w:val="21"/>
        </w:rPr>
        <w:t>Chaque anomalie sort avec ses preuves : numéro de facture, références des virements, dates, montant récupérable. Rien n'est affirmé — tout est « présomption, à vérifier », avec le dossier pour réclamer.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Aucune règle nationale requise : les détecteurs comparent le compte à lui-même. Tous les pays Qonto (FR, DE, ES, IT, AT, NL, BE, PT)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Factures fournisseurs importées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Plus il y en a, plus la surface de détection est grande. Sans elles : passe « transactions seules », annoncée clairement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Historique ≥ 6 mois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En dessous : cadences d'abonnements et suivi d'IBAN moins fiables — le skill le dit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(100 % lecture)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Noms de fournisseurs normalisés avant tout rapprochement : mentions SEPA, références de paiement, suffixes juridiques — « OVH SAS », « OVH.COM » et « VIR SEPA OVH » fusionnent ; libellés bruts conservés à l'affichage</w:t>
      </w:r>
    </w:p>
    <w:p>
      <w:pPr>
        <w:pStyle w:val="ListBullet"/>
        <w:spacing w:after="60"/>
      </w:pPr>
      <w:r>
        <w:rPr>
          <w:sz w:val="21"/>
        </w:rPr>
        <w:t>LE piège de faux positifs : les abonnements — même montant chaque mois à cadence régulière (3+ occurrences à ~30/90 j) = récurrence légitime, exclue avant tout signalement ; les vrais doublons sont hors cycle</w:t>
      </w:r>
    </w:p>
    <w:p>
      <w:pPr>
        <w:pStyle w:val="ListBullet"/>
        <w:spacing w:after="60"/>
      </w:pPr>
      <w:r>
        <w:rPr>
          <w:sz w:val="21"/>
        </w:rPr>
        <w:t>Paiements partiels et acomptes blanchis d'abord : plusieurs débits qui totalisent la facture = échéancier légitime, pas un payé-deux-fois</w:t>
      </w:r>
    </w:p>
    <w:p>
      <w:pPr>
        <w:pStyle w:val="ListBullet"/>
        <w:spacing w:after="60"/>
      </w:pPr>
      <w:r>
        <w:rPr>
          <w:sz w:val="21"/>
        </w:rPr>
        <w:t>Avoirs et remboursements identifiés d'emblée : pièces à décharge — un remboursement déjà reçu clôt le dossier (« récupéré », pas « à récupérer »)</w:t>
      </w:r>
    </w:p>
    <w:p>
      <w:pPr>
        <w:pStyle w:val="ListBullet"/>
        <w:spacing w:after="60"/>
      </w:pPr>
      <w:r>
        <w:rPr>
          <w:sz w:val="21"/>
        </w:rPr>
        <w:t>Paiements carte rapprochés par emitted_at (décalage 1-2 j sur settled_at) · filtres de statut non exposés côté MCP → filtrage côté client sur status</w:t>
      </w:r>
    </w:p>
    <w:p>
      <w:pPr>
        <w:pStyle w:val="ListBullet"/>
        <w:spacing w:after="60"/>
      </w:pPr>
      <w:r>
        <w:rPr>
          <w:sz w:val="21"/>
        </w:rPr>
        <w:t>Pas de factures fournisseurs, IBAN non exposé, compte vide : le skill dit ce qu'il peut et ne peut pas vérifier — jamais d'anomalie inventée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seule, aucun trait d'écriture</w:t>
      </w:r>
    </w:p>
    <w:p>
      <w:r>
        <w:rPr>
          <w:b/>
          <w:i w:val="0"/>
          <w:sz w:val="21"/>
        </w:rPr>
        <w:t>🔒 100 % lecture — le détective ne touche à rien, il te donne le dossier. Aucun outil d'écriture Qonto n'est appelé, jamais : rien à approuver, rien d'exécuté. Et face à un changement d'IBAN, la consigne ne varie pas : vérifier par téléphone au numéro déjà connu — jamais celui de l'email qui annonce le changement.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🕵️ Les 4 détecteurs — et les pièges qu'ils évitent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Détecteur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Ce qu'il cherche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Le faux positif écarté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D1 · Doublons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Même fournisseur + même montant à 45 j, ou même n° de facture ; has_duplicates natif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Abonnements : même montant chaque mois à cadence régulière = récurrence, pas doublon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D2 · Payés-deux-fois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1 facture ↔ 2+ débits ; deux factures jumelles payées chacune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Partiels / acomptes : les débits totalisent la facture (≠ 2×) ; remboursement reçu = cas clos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D3 · Écarts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Payé &gt; facturé au-delà de 0,05 € d'arrondi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Avoirs expliquant l'écart ; devises étrangères → « à vérifier (change) »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r>
              <w:rPr>
                <w:b/>
                <w:sz w:val="19"/>
              </w:rPr>
              <w:t>D4 · Vigie IBAN 🚨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Fournisseur connu payé sur IBAN A → soudain IBAN B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Changement de banque légitime : l'alerte demande une vérification, elle n'accuse pas — mais toujours avant le prochain paiement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Rapport markdown : alertes IBAN 🚨 en tête, anomalies triées par montant récupérable, total estimé, cas blanchis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Dossier interactif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tableau des anomalies, cartes de preuves, jauge du récupérable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le markdown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E-mail de réclamation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Brouillon prêt à envoyer : n° de facture, les 2 références de virement, dates, montant — IBAN masqués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Sur demande, anomalie par anomalie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problème → balayage (le volume à l'écran) → dossier d'anomalies + alerte IBAN → le payé-deux-fois chiffré avec son e-mail de réclamation prêt à envoyer → wrap-up 100 % lecture.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Envoi de la réclamation via un MCP Gmail détecté dynamiquement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Multi-MCP optionnel — le cœur reste Qonto pur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Marquage des factures litigieuses (change_supplier_invoice_status)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Sortirait du 100 % lecture — option explicite à assumer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Détection post-résiliation : un abonnement qui continue après une résiliation annoncée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Réutilise la détection de cadence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Audit périodique programmé avec diff vs le rapport précédent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La vigie IBAN devient un vrai monitoring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Rapprochement multi-devises avec taux du jour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Transforme les « à vérifier (change) » en verdicts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100 % lecture : aucun outil d'écriture Qonto appelé, jamais — rien à approuver, rien d'exécuté</w:t>
      </w:r>
    </w:p>
    <w:p>
      <w:pPr>
        <w:pStyle w:val="ListBullet"/>
        <w:spacing w:after="60"/>
      </w:pPr>
      <w:r>
        <w:rPr>
          <w:sz w:val="21"/>
        </w:rPr>
        <w:t>Discipline de vocabulaire : « présomption », « à vérifier » — jamais « fraude » ni « erreur » affirmées ; chaque anomalie montre ses preuves</w:t>
      </w:r>
    </w:p>
    <w:p>
      <w:pPr>
        <w:pStyle w:val="ListBullet"/>
        <w:spacing w:after="60"/>
      </w:pPr>
      <w:r>
        <w:rPr>
          <w:sz w:val="21"/>
        </w:rPr>
        <w:t>L'alerte IBAN porte toujours la consigne : vérifier par téléphone au numéro connu, jamais via les coordonnées de l'email annonçant le changement</w:t>
      </w:r>
    </w:p>
    <w:p>
      <w:pPr>
        <w:pStyle w:val="ListBullet"/>
        <w:spacing w:after="60"/>
      </w:pPr>
      <w:r>
        <w:rPr>
          <w:sz w:val="21"/>
        </w:rPr>
        <w:t>Abonnements, échelonnés, acomptes, avoirs et remboursements blanchis AVANT tout signalement — une fausse accusation coûte plus cher en confiance qu'un doublon en euros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partout · progression résumée sur les gros volumes</w:t>
      </w:r>
    </w:p>
    <w:p>
      <w:pPr>
        <w:spacing w:before="360"/>
        <w:jc w:val="center"/>
      </w:pPr>
      <w:r>
        <w:rPr>
          <w:color w:val="5A5670"/>
          <w:sz w:val="17"/>
        </w:rPr>
        <w:t>qonto-supplier-detective · Documentation FR (pilotage) · Hackathon Qonto × Anthropic MCP · juillet 2026 · Livrable PR : SKILL.md · Version jury : doc-qonto-supplier-detective.en.docx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