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qonto-ceo-cockpit</w:t>
      </w:r>
    </w:p>
    <w:p>
      <w:pPr>
        <w:jc w:val="center"/>
      </w:pPr>
      <w:r>
        <w:rPr>
          <w:b/>
          <w:color w:val="1D1B29"/>
          <w:sz w:val="26"/>
        </w:rPr>
        <w:t>"My Company" — the founder's cockpit, generated on demand from the Qonto account</w:t>
      </w:r>
    </w:p>
    <w:p>
      <w:pPr>
        <w:spacing w:after="280"/>
        <w:jc w:val="center"/>
      </w:pPr>
      <w:r>
        <w:rPr>
          <w:color w:val="5A5670"/>
          <w:sz w:val="19"/>
        </w:rPr>
        <w:t>Qonto × Anthropic MCP Hackathon  ·  100 % read-only  ·  Live recalc, no MCP call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Why this matters</w:t>
      </w:r>
    </w:p>
    <w:p>
      <w:r>
        <w:rPr>
          <w:b w:val="0"/>
          <w:i w:val="0"/>
          <w:sz w:val="21"/>
        </w:rPr>
        <w:t>A bank shows you a list of lines. To actually see your company — where the money comes from, where it goes, where you'll stand in three months — you need a spreadsheet… or three weeks of your accountant's time. The skill does it in one prompt: "show me my company" → an interactive, self-contained HTML dashboard:</w:t>
      </w:r>
    </w:p>
    <w:p>
      <w:pPr>
        <w:pStyle w:val="ListBullet"/>
        <w:spacing w:after="60"/>
      </w:pPr>
      <w:r>
        <w:rPr>
          <w:sz w:val="21"/>
        </w:rPr>
        <w:t>1. Flow view (Sankey-style) — revenue sources → company → spending categories, ribbon thickness proportional to amounts, month/year toggle, hover tooltips</w:t>
      </w:r>
    </w:p>
    <w:p>
      <w:pPr>
        <w:pStyle w:val="ListBullet"/>
        <w:spacing w:after="60"/>
      </w:pPr>
      <w:r>
        <w:rPr>
          <w:sz w:val="21"/>
        </w:rPr>
        <w:t>2. Month / year / forecast cards per category + KPIs: consolidated balance, month net, tax-vault gauge, 3-month forecast — 🟢 real / 🟡 estimated</w:t>
      </w:r>
    </w:p>
    <w:p>
      <w:pPr>
        <w:pStyle w:val="ListBullet"/>
        <w:spacing w:after="60"/>
      </w:pPr>
      <w:r>
        <w:rPr>
          <w:sz w:val="21"/>
        </w:rPr>
        <w:t>3. 3-month forecast — detected recurring flows + open client invoices (usual payment delay factored in) + supplier invoices</w:t>
      </w:r>
    </w:p>
    <w:p>
      <w:pPr>
        <w:pStyle w:val="ListBullet"/>
        <w:spacing w:after="60"/>
      </w:pPr>
      <w:r>
        <w:rPr>
          <w:sz w:val="21"/>
        </w:rPr>
        <w:t>4. Day-rate × billable-days hypothesis panel — day rate detected from invoices, sliders, live recalc without any new MCP call (everything is embedded in the page)</w:t>
      </w:r>
    </w:p>
    <w:p>
      <w:pPr>
        <w:pStyle w:val="ListBullet"/>
        <w:spacing w:after="60"/>
      </w:pPr>
      <w:r>
        <w:rPr>
          <w:sz w:val="21"/>
        </w:rPr>
        <w:t>5. Eye toggle 👁 on sensitive lines — present the dashboard without showing everything, typically in a banker meeting</w:t>
      </w:r>
    </w:p>
    <w:p>
      <w:r>
        <w:rPr>
          <w:b/>
          <w:i w:val="0"/>
          <w:sz w:val="21"/>
        </w:rPr>
        <w:t>Would someone use this on a Monday morning? It's the Monday-morning screen: open, look, decide.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Prerequisites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Prerequisite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Required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production account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Adapts to any organization — get_organization first, nothing hardcoded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Universal core: flows, cards, recurrences and forecast work in every Qonto country. Only tax-line naming is refined for France; neutral labels elsewhere, no invented local rules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Detected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Qonto MCP connected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Official connector (claude.ai / Claude Desktop), OAuth login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Yes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Qonto labels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Grouping key for spending categories (the cash-flow categories endpoint returns 403 on the connector); without labels: normalized counterparties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Recommended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≥ 6 months of history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Below that: honest forecast degradation (🟡 tags + warning)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Optional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Day-based invoicing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Needed for the hypothesis panel; otherwise the panel is omitted, reason shown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Optional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How it works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1 — How it works, 6 steps (100 % read-only, zero writes)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Holds up on messy data</w:t>
      </w:r>
    </w:p>
    <w:p>
      <w:pPr>
        <w:pStyle w:val="ListBullet"/>
        <w:spacing w:after="60"/>
      </w:pPr>
      <w:r>
        <w:rPr>
          <w:sz w:val="21"/>
        </w:rPr>
        <w:t>No labels? Grouping falls back to normalized counterparties, clearly announced — plus an explicit "Uncategorized" bucket with its transaction count, never silently spread</w:t>
      </w:r>
    </w:p>
    <w:p>
      <w:pPr>
        <w:pStyle w:val="ListBullet"/>
        <w:spacing w:after="60"/>
      </w:pPr>
      <w:r>
        <w:rPr>
          <w:sz w:val="21"/>
        </w:rPr>
        <w:t>Internal transfers netted out: moves between the org's own accounts are neither income nor spend; the one to the tax sub-account feeds the vault gauge</w:t>
      </w:r>
    </w:p>
    <w:p>
      <w:pPr>
        <w:pStyle w:val="ListBullet"/>
        <w:spacing w:after="60"/>
      </w:pPr>
      <w:r>
        <w:rPr>
          <w:sz w:val="21"/>
        </w:rPr>
        <w:t>No day-based invoicing? The hypothesis panel is omitted, with the reason — the rest of the cockpit is complete</w:t>
      </w:r>
    </w:p>
    <w:p>
      <w:pPr>
        <w:pStyle w:val="ListBullet"/>
        <w:spacing w:after="60"/>
      </w:pPr>
      <w:r>
        <w:rPr>
          <w:sz w:val="21"/>
        </w:rPr>
        <w:t>No tax sub-account? Vault gauge hidden, everything else intact · empty or young account? honest empty state, 🟡 tags, never an invented number</w:t>
      </w:r>
    </w:p>
    <w:p>
      <w:pPr>
        <w:pStyle w:val="ListBullet"/>
        <w:spacing w:after="60"/>
      </w:pPr>
      <w:r>
        <w:rPr>
          <w:sz w:val="21"/>
        </w:rPr>
        <w:t>Pagination ≤ 50 everywhere, 3-month windows · non-French company → neutral tax naming, zero invented local rules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Functional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Diagram 2 — Actors and flows: all reads, the deliverable is a local HTML file</w:t>
      </w:r>
    </w:p>
    <w:p>
      <w:r>
        <w:rPr>
          <w:b/>
          <w:i w:val="0"/>
          <w:sz w:val="21"/>
        </w:rPr>
        <w:t>🔒 100 % read-only: no write, no transfer, nothing to approve. The deliverable is a local, self-contained HTML file — the data never leaves the machine, no external code loads. The eye toggle 👁 is a presentation convenience (the data stays in the file's source); for sharing, the skill regenerates an export where hidden lines are genuinely excluded.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🧭 The cockpit zones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92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Zone</w:t>
            </w:r>
          </w:p>
        </w:tc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249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Interactive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Flow view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Sources → company → categories, ribbons ∝ amounts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12 months of transactions, labels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Month/year toggle, hover, click → detail card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KPIs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Consolidated balance · month net · tax vault · 3-month forecast</w:t>
            </w:r>
          </w:p>
        </w:tc>
        <w:tc>
          <w:tcPr>
            <w:tcW w:type="dxa" w:w="2494"/>
            <w:shd w:val="clear" w:fill="F1EDFF"/>
          </w:tcPr>
          <w:p>
            <w:pPr>
              <w:keepNext/>
            </w:pPr>
            <w:r>
              <w:rPr>
                <w:sz w:val="19"/>
              </w:rPr>
              <w:t>Balances + flows + tax sub-account</w:t>
            </w:r>
          </w:p>
        </w:tc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sz w:val="19"/>
              </w:rPr>
              <w:t>Recomputed as lines are hidden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</w:pPr>
            <w:r>
              <w:rPr>
                <w:b/>
                <w:sz w:val="19"/>
              </w:rPr>
              <w:t>Category cards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Month / year / forecast, cadence badges, 🟢🟡 tags</w:t>
            </w:r>
          </w:p>
        </w:tc>
        <w:tc>
          <w:tcPr>
            <w:tcW w:type="dxa" w:w="2494"/>
          </w:tcPr>
          <w:p>
            <w:pPr>
              <w:keepNext/>
            </w:pPr>
            <w:r>
              <w:rPr>
                <w:sz w:val="19"/>
              </w:rPr>
              <w:t>Flows + recurrences + invoices</w:t>
            </w:r>
          </w:p>
        </w:tc>
        <w:tc>
          <w:tcPr>
            <w:tcW w:type="dxa" w:w="2608"/>
          </w:tcPr>
          <w:p>
            <w:pPr>
              <w:keepNext/>
            </w:pPr>
            <w:r>
              <w:rPr>
                <w:sz w:val="19"/>
              </w:rPr>
              <w:t>Eye toggle per card</w:t>
            </w:r>
          </w:p>
        </w:tc>
      </w:tr>
      <w:tr>
        <w:trPr>
          <w:cantSplit/>
        </w:trPr>
        <w:tc>
          <w:tcPr>
            <w:tcW w:type="dxa" w:w="1928"/>
            <w:shd w:val="clear" w:fill="F1EDFF"/>
          </w:tcPr>
          <w:p>
            <w:r>
              <w:rPr>
                <w:b/>
                <w:sz w:val="19"/>
              </w:rPr>
              <w:t>Hypothesis panel</w:t>
            </w:r>
          </w:p>
        </w:tc>
        <w:tc>
          <w:tcPr>
            <w:tcW w:type="dxa" w:w="3175"/>
            <w:shd w:val="clear" w:fill="F1EDFF"/>
          </w:tcPr>
          <w:p>
            <w:r>
              <w:rPr>
                <w:sz w:val="19"/>
              </w:rPr>
              <w:t>Day rate × billable days (3 months + rest of year)</w:t>
            </w:r>
          </w:p>
        </w:tc>
        <w:tc>
          <w:tcPr>
            <w:tcW w:type="dxa" w:w="2494"/>
            <w:shd w:val="clear" w:fill="F1EDFF"/>
          </w:tcPr>
          <w:p>
            <w:r>
              <w:rPr>
                <w:sz w:val="19"/>
              </w:rPr>
              <w:t>Day rate detected from invoices</w:t>
            </w:r>
          </w:p>
        </w:tc>
        <w:tc>
          <w:tcPr>
            <w:tcW w:type="dxa" w:w="2608"/>
            <w:shd w:val="clear" w:fill="F1EDFF"/>
          </w:tcPr>
          <w:p>
            <w:r>
              <w:rPr>
                <w:sz w:val="19"/>
              </w:rPr>
              <w:t>Sliders, live recalc, no MCP call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Output formats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When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Interactive dashboard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One self-contained HTML file: inline CSS/JS, zero external dependency, pure CSS+SVG bars/ribbons, light/dark theme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The deliverable — when the host renders files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Conversation reply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Markdown tables: KPIs, month + year flows, 3-month forecast, priced day-rate scenarios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Automatic fallback otherwise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"Presentation" export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The same HTML regenerated without sensitive lines in the data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On request, for sharing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Demo video</w:t>
      </w:r>
    </w:p>
    <w:p>
      <w:r>
        <w:rPr>
          <w:b w:val="0"/>
          <w:i w:val="0"/>
          <w:sz w:val="21"/>
        </w:rPr>
        <w:t>The ≤ 3-minute demo attached to the PR walks through: the problem (a bank = a list of lines) → "show me my company" → the dashboard building itself → the day-rate slider: +€50 and the annual projection moves live, without a single API call → the eye icon hiding a line for the banker → the skill-family wrap-up. It runs live on a real production account.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Roadmap ideas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Skill-family slot-ins: tax-pilot → vault gauge + deadlines, subscription-guardian → subscriptions card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Already in SKILL.md — detected in the conversation, never required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Year-over-year comparison per category (trend arrows)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The 12-month history is already read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Multi-currency consolidation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get_organization exposes account currencies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"Board meeting" mode: print-ready PDF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Low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window.print() + print CSS, still zero dependencies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New-hire / salary / purchase sliders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The client-side recalc engine is already there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Guardrails</w:t>
      </w:r>
    </w:p>
    <w:p>
      <w:pPr>
        <w:pStyle w:val="ListBullet"/>
        <w:spacing w:after="60"/>
      </w:pPr>
      <w:r>
        <w:rPr>
          <w:sz w:val="21"/>
        </w:rPr>
        <w:t>100 % read-only skill: no write tool, no transfer, nothing to approve — said plainly when asked</w:t>
      </w:r>
    </w:p>
    <w:p>
      <w:pPr>
        <w:pStyle w:val="ListBullet"/>
        <w:spacing w:after="60"/>
      </w:pPr>
      <w:r>
        <w:rPr>
          <w:sz w:val="21"/>
        </w:rPr>
        <w:t>Eye toggle 👁 = presentation, not security: never presented as a redacted document; a genuinely excluded export is offered for sharing</w:t>
      </w:r>
    </w:p>
    <w:p>
      <w:pPr>
        <w:pStyle w:val="ListBullet"/>
        <w:spacing w:after="60"/>
      </w:pPr>
      <w:r>
        <w:rPr>
          <w:sz w:val="21"/>
        </w:rPr>
        <w:t>Forecast and hypotheses are 🟡 estimates, not accounting — accountant validation recommended</w:t>
      </w:r>
    </w:p>
    <w:p>
      <w:pPr>
        <w:pStyle w:val="ListBullet"/>
        <w:spacing w:after="60"/>
      </w:pPr>
      <w:r>
        <w:rPr>
          <w:sz w:val="21"/>
        </w:rPr>
        <w:t>IBANs masked (last 4 digits) · pagination ≤ 50 everywhere · never an invented category, tax rule, or number</w:t>
      </w:r>
    </w:p>
    <w:p>
      <w:pPr>
        <w:spacing w:before="360"/>
        <w:jc w:val="center"/>
      </w:pPr>
      <w:r>
        <w:rPr>
          <w:color w:val="5A5670"/>
          <w:sz w:val="17"/>
        </w:rPr>
        <w:t>qonto-ceo-cockpit · English documentation · Qonto × Anthropic MCP Hackathon · July 2026 · PR deliverable: SKILL.md · French version: doc-qonto-ceo-cockpit.fr.docx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