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qonto-subscription-guardian</w:t>
      </w:r>
    </w:p>
    <w:p>
      <w:pPr>
        <w:jc w:val="center"/>
      </w:pPr>
      <w:r>
        <w:rPr>
          <w:b/>
          <w:color w:val="1D1B29"/>
          <w:sz w:val="26"/>
        </w:rPr>
        <w:t>Une carte virtuelle plafonnée par abonnement — un utilitaire d'action, sans plus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#8  ·  Une carte par abonnement  ·  1 seule écriture, sous SCA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Chaque abonnement prélève ce qu'il veut sur la carte principale. Ce skill fait une seule chose, et la fait bien : générer des cartes virtuelles plafonnées, une par abonnement — sans plus.</w:t>
      </w:r>
    </w:p>
    <w:p>
      <w:pPr>
        <w:pStyle w:val="ListBullet"/>
        <w:spacing w:after="60"/>
      </w:pPr>
      <w:r>
        <w:rPr>
          <w:sz w:val="21"/>
        </w:rPr>
        <w:t>1. Détection légère — les prélèvements récurrents sur 24-36 mois (assez large pour attraper les annuels) : contrepartie normalisée, cadence mensuelle/trimestrielle/annuelle, montant stable ±15 %. Une liste de candidats, aucun verdict</w:t>
      </w:r>
    </w:p>
    <w:p>
      <w:pPr>
        <w:pStyle w:val="ListBullet"/>
        <w:spacing w:after="60"/>
      </w:pPr>
      <w:r>
        <w:rPr>
          <w:sz w:val="21"/>
        </w:rPr>
        <w:t>2. L'utilisateur choisit — le skill compte les cartes existantes (list_cards), rappelle la grille du plan et propose un nombre de cartes adapté — jamais de rafale</w:t>
      </w:r>
    </w:p>
    <w:p>
      <w:pPr>
        <w:pStyle w:val="ListBullet"/>
        <w:spacing w:after="60"/>
      </w:pPr>
      <w:r>
        <w:rPr>
          <w:sz w:val="21"/>
        </w:rPr>
        <w:t>3. Une carte plafonnée PAR abonnement choisi — create_card virtuelle + payment_monthly_limit = prix + petite marge (annuel : payment_transaction_limit), une par une, consentement explicite + SCA à chaque fois</w:t>
      </w:r>
    </w:p>
    <w:p>
      <w:pPr>
        <w:pStyle w:val="ListBullet"/>
        <w:spacing w:after="60"/>
      </w:pPr>
      <w:r>
        <w:rPr>
          <w:sz w:val="21"/>
        </w:rPr>
        <w:t>4. Nickname SUB-&lt;Fournisseur&gt; via update_card — les cartes SUB- déjà en place sont reconnues, jamais reproposées (idempotence)</w:t>
      </w:r>
    </w:p>
    <w:p>
      <w:r>
        <w:rPr>
          <w:b/>
          <w:i w:val="0"/>
          <w:sz w:val="21"/>
        </w:rPr>
        <w:t>Positionnement assumé : la protection par carte dédiée est une feature que Qonto proposera sans doute nativement un jour — ce skill te la donne aujourd'hui.</w:t>
      </w:r>
    </w:p>
    <w:p>
      <w:r>
        <w:rPr>
          <w:b w:val="0"/>
          <w:i w:val="0"/>
          <w:sz w:val="21"/>
        </w:rPr>
        <w:t>Pour l'audit complet des récurrences (coût annuel, doublons, hausses…) : voir le skill qonto-subscription-audit — ici, on ne fait que les cartes.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Rôle Owner/Admin/Manager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Pour créer la carte directement ; sinon repli sur create_card_request (approuvée par un admin)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Pour agir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Cartes virtuelles du plan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Basic : 2 incluses (2 €/mois au-delà) · Smart/Premium : 50 incluses (1 €/carte au-delà) · Essential/Business/Enterprise : illimité. Plan non lisible via MCP (get_subscription → 403) : le skill compte les cartes, rappelle la grille et demande le plan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Vérifié avant proposition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Historique ≥ 24 mois recommandé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Pour attraper les abonnements annuels ; en dessous, les annuels peuvent passer sous le radar — annoncé honnêtement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 seule écriture, sous SCA)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Noms de marchands illisibles (ADOBE *CC PARIS, GOOGLE*CLOUD IE) : normalisés avant rapprochement — un fournisseur = une ligne</w:t>
      </w:r>
    </w:p>
    <w:p>
      <w:pPr>
        <w:pStyle w:val="ListBullet"/>
        <w:spacing w:after="60"/>
      </w:pPr>
      <w:r>
        <w:rPr>
          <w:sz w:val="21"/>
        </w:rPr>
        <w:t>Montants qui bougent (arrondis TVA, change, sièges) : bande de stabilité ±15 %</w:t>
      </w:r>
    </w:p>
    <w:p>
      <w:pPr>
        <w:pStyle w:val="ListBullet"/>
        <w:spacing w:after="60"/>
      </w:pPr>
      <w:r>
        <w:rPr>
          <w:sz w:val="21"/>
        </w:rPr>
        <w:t>Délais carte : rapprochement sur emitted_at — settled_at décale de 1-2 jours et fausse les cadences</w:t>
      </w:r>
    </w:p>
    <w:p>
      <w:pPr>
        <w:pStyle w:val="ListBullet"/>
        <w:spacing w:after="60"/>
      </w:pPr>
      <w:r>
        <w:rPr>
          <w:sz w:val="21"/>
        </w:rPr>
        <w:t>Historique court : en dessous de 24 mois, le skill prévient que les annuels peuvent passer sous le radar</w:t>
      </w:r>
    </w:p>
    <w:p>
      <w:pPr>
        <w:pStyle w:val="ListBullet"/>
        <w:spacing w:after="60"/>
      </w:pPr>
      <w:r>
        <w:rPr>
          <w:sz w:val="21"/>
        </w:rPr>
        <w:t>Compte vide ou rôle restreint : dégradation propre annoncée en une ligne — la détection marche pour tous</w:t>
      </w:r>
    </w:p>
    <w:p>
      <w:pPr>
        <w:pStyle w:val="ListBullet"/>
        <w:spacing w:after="60"/>
      </w:pPr>
      <w:r>
        <w:rPr>
          <w:sz w:val="21"/>
        </w:rPr>
        <w:t>Pagination ≤ 50 partout · fenêtres de 3 mois · IBAN et numéros de carte masqués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sans risque (plein), écriture sous consentement + SCA (pointillé)</w:t>
      </w:r>
    </w:p>
    <w:p>
      <w:r>
        <w:rPr>
          <w:b/>
          <w:i w:val="0"/>
          <w:sz w:val="21"/>
        </w:rPr>
        <w:t>🔒 Le modèle de sécurité, pas une limitation : la lecture est sans risque ; l'écriture exige le consentement explicite dans la conversation ET la SCA — l'appel create_card bloque tant que la notification push n'est pas confirmée sur l'appareil Qonto appairé, et ce pour CHAQUE carte. Selon le rôle, repli sur create_card_request. Ni Claude ni le MCP ne peuvent dépenser un euro.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🔁 Le cycle de vie d'une carte SUB-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351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Outil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Création plafonnée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create_card (virtuelle, plafond = prix + marge)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Consentement explicite + SCA, une carte à la fois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Nommage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update_card → SUB-&lt;Fournisseur&gt;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create_card n'a pas de champ nickname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Bascule chez le fournisseur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get_card_iframe_url (PAN/CVV)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Étape manuelle — URL éphémère, pour les yeux de l'utilisateur uniquement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Pause réversible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change_card_status → lock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Prévient d'abord : un prélèvement refusé peut suspendre le service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Suppression définitive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change_card_status → discard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Le contrat survit — plafonner ≠ résilier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r>
              <w:rPr>
                <w:b/>
                <w:sz w:val="19"/>
              </w:rPr>
              <w:t>Ajuster le plafond</w:t>
            </w:r>
          </w:p>
        </w:tc>
        <w:tc>
          <w:tcPr>
            <w:tcW w:type="dxa" w:w="3515"/>
            <w:shd w:val="clear" w:fill="F1EDFF"/>
          </w:tcPr>
          <w:p>
            <w:r>
              <w:rPr>
                <w:sz w:val="19"/>
              </w:rPr>
              <w:t>App Qonto uniquement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Les plafonds ne sont pas éditables via MCP — dit tel quel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Liste des candidats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 markdown : fournisseur · prix · cadence M/T/A · carte payeuse · déjà protégé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Après la détection légère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Récap des cartes créées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Tableau markdown : carte · plafond · fournisseur · reste à basculer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En fin de session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problème → liste des candidats (cadences M/T/A) + rappel de la grille du plan → choix utilisateur → LA carte plafonnée créée en live, SCA filmée sur iPhone, carte visible dans l'app avec son plafond → « chaque abonnement a sa boîte » + wrap-up.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Catégorisation Qonto des abonnements protégés (modify_transaction_cash_flow_category)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Les lignes SUB- deviennent lisibles dans l'app aussi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Benchmark prix public par outil (web search)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Pour dimensionner le plafond au juste prix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Détection multi-devises (USD/GBP)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Normalisation des montants avant le calcul de stabilité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JAMAIS de création de carte (ou de demande) sans confirmation explicite pour CETTE carte dans la conversation en cours ; jamais présentée comme faite tant que la SCA n'est pas validée</w:t>
      </w:r>
    </w:p>
    <w:p>
      <w:pPr>
        <w:pStyle w:val="ListBullet"/>
        <w:spacing w:after="60"/>
      </w:pPr>
      <w:r>
        <w:rPr>
          <w:sz w:val="21"/>
        </w:rPr>
        <w:t>Vérification du plan d'abord, toujours : comptage list_cards + grille 2/50/illimité avant toute proposition — nombre de cartes adapté, jamais de rafale</w:t>
      </w:r>
    </w:p>
    <w:p>
      <w:pPr>
        <w:pStyle w:val="ListBullet"/>
        <w:spacing w:after="60"/>
      </w:pPr>
      <w:r>
        <w:rPr>
          <w:sz w:val="21"/>
        </w:rPr>
        <w:t>Plafonner ≠ résilier : le contrat survit à la carte — un prélèvement refusé peut déclencher relance ou suspension de service, dit AVANT d'agir</w:t>
      </w:r>
    </w:p>
    <w:p>
      <w:pPr>
        <w:pStyle w:val="ListBullet"/>
        <w:spacing w:after="60"/>
      </w:pPr>
      <w:r>
        <w:rPr>
          <w:sz w:val="21"/>
        </w:rPr>
        <w:t>Répétitions : 1 carte de démo max, discard en fin de session ; jamais de PAN complet à l'écran</w:t>
      </w:r>
    </w:p>
    <w:p>
      <w:pPr>
        <w:pStyle w:val="ListBullet"/>
        <w:spacing w:after="60"/>
      </w:pPr>
      <w:r>
        <w:rPr>
          <w:sz w:val="21"/>
        </w:rPr>
        <w:t>IBAN et numéros de carte masqués (4 derniers chiffres)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qonto-subscription-guardian · Documentation FR (pilotage) · Hackathon Qonto × Anthropic MCP · juillet 2026 · Livrable PR : SKILL.md · Version jury : doc-qonto-subscription-guardian.en.docx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