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enlo" w:hAnsi="Menlo"/>
          <w:b/>
          <w:color w:val="6B4EFF"/>
          <w:sz w:val="60"/>
        </w:rPr>
        <w:t>qonto-infra-margin</w:t>
      </w:r>
    </w:p>
    <w:p>
      <w:pPr>
        <w:jc w:val="center"/>
      </w:pPr>
      <w:r>
        <w:rPr>
          <w:b/>
          <w:color w:val="1D1B29"/>
          <w:sz w:val="26"/>
        </w:rPr>
        <w:t>What does your infra really cost, per user? — true unit economics, straight from the Qonto account</w:t>
      </w:r>
    </w:p>
    <w:p>
      <w:pPr>
        <w:spacing w:after="280"/>
        <w:jc w:val="center"/>
      </w:pPr>
      <w:r>
        <w:rPr>
          <w:color w:val="5A5670"/>
          <w:sz w:val="19"/>
        </w:rPr>
        <w:t>Qonto × Anthropic MCP Hackathon  ·  100% read-only, zero writes  ·  €/user measured, never invented  ·  Multi-MCP detected dynamically</w:t>
      </w:r>
    </w:p>
    <w:p>
      <w:pPr>
        <w:pBdr>
          <w:bottom w:val="single" w:sz="24" w:color="6B4EFF"/>
        </w:pBdr>
        <w:spacing w:after="200"/>
      </w:pPr>
    </w:p>
    <w:p>
      <w:pPr>
        <w:keepNext/>
        <w:spacing w:before="320" w:after="120"/>
      </w:pPr>
      <w:r>
        <w:rPr>
          <w:b/>
          <w:color w:val="4A30D9"/>
          <w:sz w:val="32"/>
        </w:rPr>
        <w:t>🎯 Why this matters</w:t>
      </w:r>
    </w:p>
    <w:p>
      <w:r>
        <w:rPr>
          <w:b w:val="0"/>
          <w:i w:val="0"/>
          <w:sz w:val="21"/>
        </w:rPr>
        <w:t>A SaaS founder recites their MRR by heart. Their infra cost per user? Silence. Vercel, Supabase, OpenAI and AWS bills drown in the card debits, and gross margin drifts with nobody watching. The skill answers with what actually left the bank account:</w:t>
      </w:r>
    </w:p>
    <w:p>
      <w:pPr>
        <w:pStyle w:val="ListBullet"/>
        <w:spacing w:after="60"/>
      </w:pPr>
      <w:r>
        <w:rPr>
          <w:sz w:val="21"/>
        </w:rPr>
        <w:t>1. Infra debits isolated and classified — Vercel, Supabase, Sentry, OpenAI, Anthropic, AWS, Scaleway, OVH… recognized from Claude's world knowledge at the first occurrence, spellings normalized, grouped by family (cloud, data, AI, observability, tooling)</w:t>
      </w:r>
    </w:p>
    <w:p>
      <w:pPr>
        <w:pStyle w:val="ListBullet"/>
        <w:spacing w:after="60"/>
      </w:pPr>
      <w:r>
        <w:rPr>
          <w:sz w:val="21"/>
        </w:rPr>
        <w:t>2. Cross-referenced with product telemetry — from connected MCPs: Vercel (projects, deployments), Supabase (projects, users via a read-only SELECT count), Sentry optional</w:t>
      </w:r>
    </w:p>
    <w:p>
      <w:pPr>
        <w:pStyle w:val="ListBullet"/>
        <w:spacing w:after="60"/>
      </w:pPr>
      <w:r>
        <w:rPr>
          <w:sz w:val="21"/>
        </w:rPr>
        <w:t>3. True unit economics — €/user, €/project (proration announced), month-by-month gross-margin drift against receipts</w:t>
      </w:r>
    </w:p>
    <w:p>
      <w:pPr>
        <w:pStyle w:val="ListBullet"/>
        <w:spacing w:after="60"/>
      </w:pPr>
      <w:r>
        <w:rPr>
          <w:sz w:val="21"/>
        </w:rPr>
        <w:t>4. The side-projects that bleed — billed every month with zero deployments in 90 days, empty databases on paid tiers, AI API spend growing faster than users</w:t>
      </w:r>
    </w:p>
    <w:p>
      <w:r>
        <w:rPr>
          <w:b/>
          <w:i w:val="0"/>
          <w:sz w:val="21"/>
        </w:rPr>
        <w:t>Would someone use this on a Monday morning? It's the question every technical founder asks in the shower and never answers.</w:t>
      </w:r>
    </w:p>
    <w:p>
      <w:pPr>
        <w:keepNext/>
        <w:spacing w:before="320" w:after="120"/>
      </w:pPr>
      <w:r>
        <w:rPr>
          <w:b/>
          <w:color w:val="4A30D9"/>
          <w:sz w:val="32"/>
        </w:rPr>
        <w:t>📋 Prerequisites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381"/>
            <w:shd w:val="clear" w:fill="6B4EFF"/>
          </w:tcPr>
          <w:p>
            <w:pPr>
              <w:keepNext/>
            </w:pPr>
            <w:r>
              <w:rPr>
                <w:b/>
                <w:color w:val="FFFFFF"/>
                <w:sz w:val="19"/>
              </w:rPr>
              <w:t>Prerequisite</w:t>
            </w:r>
          </w:p>
        </w:tc>
        <w:tc>
          <w:tcPr>
            <w:tcW w:type="dxa" w:w="5443"/>
            <w:shd w:val="clear" w:fill="6B4EFF"/>
          </w:tcPr>
          <w:p>
            <w:pPr>
              <w:keepNext/>
            </w:pPr>
            <w:r>
              <w:rPr>
                <w:b/>
                <w:color w:val="FFFFFF"/>
                <w:sz w:val="19"/>
              </w:rPr>
              <w:t>Detail</w:t>
            </w:r>
          </w:p>
        </w:tc>
        <w:tc>
          <w:tcPr>
            <w:tcW w:type="dxa" w:w="1814"/>
            <w:shd w:val="clear" w:fill="6B4EFF"/>
          </w:tcPr>
          <w:p>
            <w:pPr>
              <w:keepNext/>
            </w:pPr>
            <w:r>
              <w:rPr>
                <w:b/>
                <w:color w:val="FFFFFF"/>
                <w:sz w:val="19"/>
              </w:rPr>
              <w:t>Required</w:t>
            </w:r>
          </w:p>
        </w:tc>
      </w:tr>
      <w:tr>
        <w:trPr>
          <w:cantSplit/>
        </w:trPr>
        <w:tc>
          <w:tcPr>
            <w:tcW w:type="dxa" w:w="2381"/>
          </w:tcPr>
          <w:p>
            <w:pPr>
              <w:keepNext/>
            </w:pPr>
            <w:r>
              <w:rPr>
                <w:b/>
                <w:sz w:val="19"/>
              </w:rPr>
              <w:t>Qonto production account</w:t>
            </w:r>
          </w:p>
        </w:tc>
        <w:tc>
          <w:tcPr>
            <w:tcW w:type="dxa" w:w="5443"/>
          </w:tcPr>
          <w:p>
            <w:pPr>
              <w:keepNext/>
            </w:pPr>
            <w:r>
              <w:rPr>
                <w:sz w:val="19"/>
              </w:rPr>
              <w:t>Adapts to any organization — get_organization first, nothing hardcoded</w:t>
            </w:r>
          </w:p>
        </w:tc>
        <w:tc>
          <w:tcPr>
            <w:tcW w:type="dxa" w:w="1814"/>
          </w:tcPr>
          <w:p>
            <w:pPr>
              <w:keepNext/>
            </w:pPr>
            <w:r>
              <w:rPr>
                <w:sz w:val="19"/>
              </w:rPr>
              <w:t>✅ Yes</w:t>
            </w:r>
          </w:p>
        </w:tc>
      </w:tr>
      <w:tr>
        <w:trPr>
          <w:cantSplit/>
        </w:trPr>
        <w:tc>
          <w:tcPr>
            <w:tcW w:type="dxa" w:w="2381"/>
            <w:shd w:val="clear" w:fill="F1EDFF"/>
          </w:tcPr>
          <w:p>
            <w:pPr>
              <w:keepNext/>
            </w:pPr>
            <w:r>
              <w:rPr>
                <w:b/>
                <w:sz w:val="19"/>
              </w:rPr>
              <w:t>Country</w:t>
            </w:r>
          </w:p>
        </w:tc>
        <w:tc>
          <w:tcPr>
            <w:tcW w:type="dxa" w:w="5443"/>
            <w:shd w:val="clear" w:fill="F1EDFF"/>
          </w:tcPr>
          <w:p>
            <w:pPr>
              <w:keepNext/>
            </w:pPr>
            <w:r>
              <w:rPr>
                <w:sz w:val="19"/>
              </w:rPr>
              <w:t>Universal — identical analysis for every Qonto country (FR, DE, ES, IT, AT, NL, BE, PT). Truth = the account-side debit (EUR side of USD bills, FX included)</w:t>
            </w:r>
          </w:p>
        </w:tc>
        <w:tc>
          <w:tcPr>
            <w:tcW w:type="dxa" w:w="1814"/>
            <w:shd w:val="clear" w:fill="F1EDFF"/>
          </w:tcPr>
          <w:p>
            <w:pPr>
              <w:keepNext/>
            </w:pPr>
            <w:r>
              <w:rPr>
                <w:sz w:val="19"/>
              </w:rPr>
              <w:t>ℹ️ Detected</w:t>
            </w:r>
          </w:p>
        </w:tc>
      </w:tr>
      <w:tr>
        <w:trPr>
          <w:cantSplit/>
        </w:trPr>
        <w:tc>
          <w:tcPr>
            <w:tcW w:type="dxa" w:w="2381"/>
          </w:tcPr>
          <w:p>
            <w:pPr>
              <w:keepNext/>
            </w:pPr>
            <w:r>
              <w:rPr>
                <w:b/>
                <w:sz w:val="19"/>
              </w:rPr>
              <w:t>Qonto MCP connected</w:t>
            </w:r>
          </w:p>
        </w:tc>
        <w:tc>
          <w:tcPr>
            <w:tcW w:type="dxa" w:w="5443"/>
          </w:tcPr>
          <w:p>
            <w:pPr>
              <w:keepNext/>
            </w:pPr>
            <w:r>
              <w:rPr>
                <w:sz w:val="19"/>
              </w:rPr>
              <w:t>Official connector (claude.ai / Claude Desktop), OAuth login</w:t>
            </w:r>
          </w:p>
        </w:tc>
        <w:tc>
          <w:tcPr>
            <w:tcW w:type="dxa" w:w="1814"/>
          </w:tcPr>
          <w:p>
            <w:pPr>
              <w:keepNext/>
            </w:pPr>
            <w:r>
              <w:rPr>
                <w:sz w:val="19"/>
              </w:rPr>
              <w:t>✅ Yes</w:t>
            </w:r>
          </w:p>
        </w:tc>
      </w:tr>
      <w:tr>
        <w:trPr>
          <w:cantSplit/>
        </w:trPr>
        <w:tc>
          <w:tcPr>
            <w:tcW w:type="dxa" w:w="2381"/>
            <w:shd w:val="clear" w:fill="F1EDFF"/>
          </w:tcPr>
          <w:p>
            <w:pPr>
              <w:keepNext/>
            </w:pPr>
            <w:r>
              <w:rPr>
                <w:b/>
                <w:sz w:val="19"/>
              </w:rPr>
              <w:t>Vercel MCP</w:t>
            </w:r>
          </w:p>
        </w:tc>
        <w:tc>
          <w:tcPr>
            <w:tcW w:type="dxa" w:w="5443"/>
            <w:shd w:val="clear" w:fill="F1EDFF"/>
          </w:tcPr>
          <w:p>
            <w:pPr>
              <w:keepNext/>
            </w:pPr>
            <w:r>
              <w:rPr>
                <w:sz w:val="19"/>
              </w:rPr>
              <w:t>list_projects + list_deployments → per-project allocation, dead projects detected</w:t>
            </w:r>
          </w:p>
        </w:tc>
        <w:tc>
          <w:tcPr>
            <w:tcW w:type="dxa" w:w="1814"/>
            <w:shd w:val="clear" w:fill="F1EDFF"/>
          </w:tcPr>
          <w:p>
            <w:pPr>
              <w:keepNext/>
            </w:pPr>
            <w:r>
              <w:rPr>
                <w:sz w:val="19"/>
              </w:rPr>
              <w:t>⭕ Recommended</w:t>
            </w:r>
          </w:p>
        </w:tc>
      </w:tr>
      <w:tr>
        <w:trPr>
          <w:cantSplit/>
        </w:trPr>
        <w:tc>
          <w:tcPr>
            <w:tcW w:type="dxa" w:w="2381"/>
          </w:tcPr>
          <w:p>
            <w:pPr>
              <w:keepNext/>
            </w:pPr>
            <w:r>
              <w:rPr>
                <w:b/>
                <w:sz w:val="19"/>
              </w:rPr>
              <w:t>Supabase MCP</w:t>
            </w:r>
          </w:p>
        </w:tc>
        <w:tc>
          <w:tcPr>
            <w:tcW w:type="dxa" w:w="5443"/>
          </w:tcPr>
          <w:p>
            <w:pPr>
              <w:keepNext/>
            </w:pPr>
            <w:r>
              <w:rPr>
                <w:sz w:val="19"/>
              </w:rPr>
              <w:t>list_projects + execute_sql (read-only SELECT count, user-confirmed table) → measured €/user</w:t>
            </w:r>
          </w:p>
        </w:tc>
        <w:tc>
          <w:tcPr>
            <w:tcW w:type="dxa" w:w="1814"/>
          </w:tcPr>
          <w:p>
            <w:pPr>
              <w:keepNext/>
            </w:pPr>
            <w:r>
              <w:rPr>
                <w:sz w:val="19"/>
              </w:rPr>
              <w:t>⭕ Recommended</w:t>
            </w:r>
          </w:p>
        </w:tc>
      </w:tr>
      <w:tr>
        <w:trPr>
          <w:cantSplit/>
        </w:trPr>
        <w:tc>
          <w:tcPr>
            <w:tcW w:type="dxa" w:w="2381"/>
            <w:shd w:val="clear" w:fill="F1EDFF"/>
          </w:tcPr>
          <w:p>
            <w:r>
              <w:rPr>
                <w:b/>
                <w:sz w:val="19"/>
              </w:rPr>
              <w:t>≥ 12 months of history</w:t>
            </w:r>
          </w:p>
        </w:tc>
        <w:tc>
          <w:tcPr>
            <w:tcW w:type="dxa" w:w="5443"/>
            <w:shd w:val="clear" w:fill="F1EDFF"/>
          </w:tcPr>
          <w:p>
            <w:r>
              <w:rPr>
                <w:sz w:val="19"/>
              </w:rPr>
              <w:t>Trends and yearly plans only show over 12-36 months; below that, honest degradation</w:t>
            </w:r>
          </w:p>
        </w:tc>
        <w:tc>
          <w:tcPr>
            <w:tcW w:type="dxa" w:w="1814"/>
            <w:shd w:val="clear" w:fill="F1EDFF"/>
          </w:tcPr>
          <w:p>
            <w:r>
              <w:rPr>
                <w:sz w:val="19"/>
              </w:rPr>
              <w:t>⭕ Optional</w:t>
            </w:r>
          </w:p>
        </w:tc>
      </w:tr>
    </w:tbl>
    <w:p>
      <w:pPr>
        <w:spacing w:after="40"/>
      </w:pPr>
    </w:p>
    <w:p>
      <w:pPr>
        <w:keepNext/>
        <w:spacing w:before="320" w:after="120"/>
      </w:pPr>
      <w:r>
        <w:rPr>
          <w:b/>
          <w:color w:val="4A30D9"/>
          <w:sz w:val="32"/>
        </w:rPr>
        <w:t>⚙️ How it works</w:t>
      </w:r>
    </w:p>
    <w:p>
      <w:pPr>
        <w:keepNext/>
        <w:jc w:val="center"/>
      </w:pPr>
      <w:r>
        <w:drawing>
          <wp:inline xmlns:a="http://schemas.openxmlformats.org/drawingml/2006/main" xmlns:pic="http://schemas.openxmlformats.org/drawingml/2006/picture">
            <wp:extent cx="6120000" cy="3271034"/>
            <wp:docPr id="1" name="Picture 1"/>
            <wp:cNvGraphicFramePr>
              <a:graphicFrameLocks noChangeAspect="1"/>
            </wp:cNvGraphicFramePr>
            <a:graphic>
              <a:graphicData uri="http://schemas.openxmlformats.org/drawingml/2006/picture">
                <pic:pic>
                  <pic:nvPicPr>
                    <pic:cNvPr id="0" name="flow.en.png"/>
                    <pic:cNvPicPr/>
                  </pic:nvPicPr>
                  <pic:blipFill>
                    <a:blip r:embed="rId9"/>
                    <a:stretch>
                      <a:fillRect/>
                    </a:stretch>
                  </pic:blipFill>
                  <pic:spPr>
                    <a:xfrm>
                      <a:off x="0" y="0"/>
                      <a:ext cx="6120000" cy="3271034"/>
                    </a:xfrm>
                    <a:prstGeom prst="rect"/>
                  </pic:spPr>
                </pic:pic>
              </a:graphicData>
            </a:graphic>
          </wp:inline>
        </w:drawing>
      </w:r>
    </w:p>
    <w:p>
      <w:pPr>
        <w:spacing w:after="200"/>
        <w:jc w:val="center"/>
      </w:pPr>
      <w:r>
        <w:rPr>
          <w:i/>
          <w:color w:val="5A5670"/>
          <w:sz w:val="17"/>
        </w:rPr>
        <w:t>Diagram 1 — How it works, 6 steps (100% read-only)</w:t>
      </w:r>
    </w:p>
    <w:p>
      <w:pPr>
        <w:keepNext/>
        <w:spacing w:before="200" w:after="120"/>
      </w:pPr>
      <w:r>
        <w:rPr>
          <w:b/>
          <w:color w:val="6B4EFF"/>
          <w:sz w:val="25"/>
        </w:rPr>
        <w:t>Holds up on messy data</w:t>
      </w:r>
    </w:p>
    <w:p>
      <w:pPr>
        <w:pStyle w:val="ListBullet"/>
        <w:spacing w:after="60"/>
      </w:pPr>
      <w:r>
        <w:rPr>
          <w:sz w:val="21"/>
        </w:rPr>
        <w:t>No dictionary to maintain: vendors identified at their first invoice — an AI API that launched last month is recognized without any update. Spellings merged (AWS EMEA SARL = AMZN WEB SERVICES = AWS; OPENAI *CHATGPT = OpenAI)</w:t>
      </w:r>
    </w:p>
    <w:p>
      <w:pPr>
        <w:pStyle w:val="ListBullet"/>
        <w:spacing w:after="60"/>
      </w:pPr>
      <w:r>
        <w:rPr>
          <w:sz w:val="21"/>
        </w:rPr>
        <w:t>Billed in USD, debited in EUR: the skill totals the EUR debit (FX included) and explains why vendor dashboards show a different number</w:t>
      </w:r>
    </w:p>
    <w:p>
      <w:pPr>
        <w:pStyle w:val="ListBullet"/>
        <w:spacing w:after="60"/>
      </w:pPr>
      <w:r>
        <w:rPr>
          <w:sz w:val="21"/>
        </w:rPr>
        <w:t>Card payments: invoice ↔ debit matching by emitted_at, not settled_at (1-2 day gap)</w:t>
      </w:r>
    </w:p>
    <w:p>
      <w:pPr>
        <w:pStyle w:val="ListBullet"/>
        <w:spacing w:after="60"/>
      </w:pPr>
      <w:r>
        <w:rPr>
          <w:sz w:val="21"/>
        </w:rPr>
        <w:t>Yearly plans: cadences detected across 24-36 months before any cost is called a “one-off”</w:t>
      </w:r>
    </w:p>
    <w:p>
      <w:pPr>
        <w:pStyle w:val="ListBullet"/>
        <w:spacing w:after="60"/>
      </w:pPr>
      <w:r>
        <w:rPr>
          <w:sz w:val="21"/>
        </w:rPr>
        <w:t>Ambiguous counterparty (reseller, agency) → asked once, never silently classified</w:t>
      </w:r>
    </w:p>
    <w:p>
      <w:pPr>
        <w:pStyle w:val="ListBullet"/>
        <w:spacing w:after="60"/>
      </w:pPr>
      <w:r>
        <w:rPr>
          <w:sz w:val="21"/>
        </w:rPr>
        <w:t>No product MCP → announced degraded mode: classification + monthly totals + trend, already useful. No measured count → no €/user, said plainly</w:t>
      </w:r>
    </w:p>
    <w:p>
      <w:r>
        <w:br w:type="page"/>
      </w:r>
    </w:p>
    <w:p>
      <w:pPr>
        <w:keepNext/>
        <w:spacing w:before="320" w:after="120"/>
      </w:pPr>
      <w:r>
        <w:rPr>
          <w:b/>
          <w:color w:val="4A30D9"/>
          <w:sz w:val="32"/>
        </w:rPr>
        <w:t>🏗 Functional diagram</w:t>
      </w:r>
    </w:p>
    <w:p>
      <w:pPr>
        <w:keepNext/>
        <w:jc w:val="center"/>
      </w:pPr>
      <w:r>
        <w:drawing>
          <wp:inline xmlns:a="http://schemas.openxmlformats.org/drawingml/2006/main" xmlns:pic="http://schemas.openxmlformats.org/drawingml/2006/picture">
            <wp:extent cx="6120000" cy="3376552"/>
            <wp:docPr id="2" name="Picture 2"/>
            <wp:cNvGraphicFramePr>
              <a:graphicFrameLocks noChangeAspect="1"/>
            </wp:cNvGraphicFramePr>
            <a:graphic>
              <a:graphicData uri="http://schemas.openxmlformats.org/drawingml/2006/picture">
                <pic:pic>
                  <pic:nvPicPr>
                    <pic:cNvPr id="0" name="functional.en.png"/>
                    <pic:cNvPicPr/>
                  </pic:nvPicPr>
                  <pic:blipFill>
                    <a:blip r:embed="rId10"/>
                    <a:stretch>
                      <a:fillRect/>
                    </a:stretch>
                  </pic:blipFill>
                  <pic:spPr>
                    <a:xfrm>
                      <a:off x="0" y="0"/>
                      <a:ext cx="6120000" cy="3376552"/>
                    </a:xfrm>
                    <a:prstGeom prst="rect"/>
                  </pic:spPr>
                </pic:pic>
              </a:graphicData>
            </a:graphic>
          </wp:inline>
        </w:drawing>
      </w:r>
    </w:p>
    <w:p>
      <w:pPr>
        <w:spacing w:after="200"/>
        <w:jc w:val="center"/>
      </w:pPr>
      <w:r>
        <w:rPr>
          <w:i/>
          <w:color w:val="5A5670"/>
          <w:sz w:val="17"/>
        </w:rPr>
        <w:t>Diagram 2 — Actors and flows: read-only on both sides (Qonto + product MCPs)</w:t>
      </w:r>
    </w:p>
    <w:p>
      <w:r>
        <w:rPr>
          <w:b/>
          <w:i w:val="0"/>
          <w:sz w:val="21"/>
        </w:rPr>
        <w:t>🔒 100% read-only, on both sides. Qonto side: no write tool is ever called — nothing to approve, nothing executed. Product side: execute_sql is capped at single read-only SELECT count queries, on a table the user confirms before it runs — never DDL/DML, never a guessed table.</w:t>
      </w:r>
    </w:p>
    <w:p>
      <w:pPr>
        <w:keepNext/>
        <w:spacing w:before="320" w:after="120"/>
      </w:pPr>
      <w:r>
        <w:rPr>
          <w:b/>
          <w:color w:val="4A30D9"/>
          <w:sz w:val="32"/>
        </w:rPr>
        <w:t>🗂 Recognized vendor families (examples, never exhaustive)</w:t>
      </w:r>
    </w:p>
    <w:tbl>
      <w:tblPr>
        <w:tblStyle w:val="TableGrid"/>
        <w:tblW w:type="auto" w:w="0"/>
        <w:tblLayout w:type="autofit"/>
        <w:tblLook w:firstColumn="1" w:firstRow="1" w:lastColumn="0" w:lastRow="0" w:noHBand="0" w:noVBand="1" w:val="04A0"/>
      </w:tblPr>
      <w:tblGrid>
        <w:gridCol w:w="4819"/>
        <w:gridCol w:w="4819"/>
      </w:tblGrid>
      <w:tr>
        <w:trPr>
          <w:cantSplit/>
        </w:trPr>
        <w:tc>
          <w:tcPr>
            <w:tcW w:type="dxa" w:w="2608"/>
            <w:shd w:val="clear" w:fill="6B4EFF"/>
          </w:tcPr>
          <w:p>
            <w:pPr>
              <w:keepNext/>
            </w:pPr>
            <w:r>
              <w:rPr>
                <w:b/>
                <w:color w:val="FFFFFF"/>
                <w:sz w:val="19"/>
              </w:rPr>
              <w:t>Family</w:t>
            </w:r>
          </w:p>
        </w:tc>
        <w:tc>
          <w:tcPr>
            <w:tcW w:type="dxa" w:w="7030"/>
            <w:shd w:val="clear" w:fill="6B4EFF"/>
          </w:tcPr>
          <w:p>
            <w:pPr>
              <w:keepNext/>
            </w:pPr>
            <w:r>
              <w:rPr>
                <w:b/>
                <w:color w:val="FFFFFF"/>
                <w:sz w:val="19"/>
              </w:rPr>
              <w:t>Typical vendors</w:t>
            </w:r>
          </w:p>
        </w:tc>
      </w:tr>
      <w:tr>
        <w:trPr>
          <w:cantSplit/>
        </w:trPr>
        <w:tc>
          <w:tcPr>
            <w:tcW w:type="dxa" w:w="2608"/>
          </w:tcPr>
          <w:p>
            <w:pPr>
              <w:keepNext/>
            </w:pPr>
            <w:r>
              <w:rPr>
                <w:b/>
                <w:sz w:val="19"/>
              </w:rPr>
              <w:t>Cloud &amp; hosting</w:t>
            </w:r>
          </w:p>
        </w:tc>
        <w:tc>
          <w:tcPr>
            <w:tcW w:type="dxa" w:w="7030"/>
          </w:tcPr>
          <w:p>
            <w:pPr>
              <w:keepNext/>
            </w:pPr>
            <w:r>
              <w:rPr>
                <w:sz w:val="19"/>
              </w:rPr>
              <w:t>AWS, Google Cloud, Azure, Scaleway, OVHcloud, Hetzner, DigitalOcean, Fly.io, Railway, Render, Heroku</w:t>
            </w:r>
          </w:p>
        </w:tc>
      </w:tr>
      <w:tr>
        <w:trPr>
          <w:cantSplit/>
        </w:trPr>
        <w:tc>
          <w:tcPr>
            <w:tcW w:type="dxa" w:w="2608"/>
            <w:shd w:val="clear" w:fill="F1EDFF"/>
          </w:tcPr>
          <w:p>
            <w:pPr>
              <w:keepNext/>
            </w:pPr>
            <w:r>
              <w:rPr>
                <w:b/>
                <w:sz w:val="19"/>
              </w:rPr>
              <w:t>Frontend &amp; edge</w:t>
            </w:r>
          </w:p>
        </w:tc>
        <w:tc>
          <w:tcPr>
            <w:tcW w:type="dxa" w:w="7030"/>
            <w:shd w:val="clear" w:fill="F1EDFF"/>
          </w:tcPr>
          <w:p>
            <w:pPr>
              <w:keepNext/>
            </w:pPr>
            <w:r>
              <w:rPr>
                <w:sz w:val="19"/>
              </w:rPr>
              <w:t>Vercel, Netlify, Cloudflare</w:t>
            </w:r>
          </w:p>
        </w:tc>
      </w:tr>
      <w:tr>
        <w:trPr>
          <w:cantSplit/>
        </w:trPr>
        <w:tc>
          <w:tcPr>
            <w:tcW w:type="dxa" w:w="2608"/>
          </w:tcPr>
          <w:p>
            <w:pPr>
              <w:keepNext/>
            </w:pPr>
            <w:r>
              <w:rPr>
                <w:b/>
                <w:sz w:val="19"/>
              </w:rPr>
              <w:t>Data &amp; backend</w:t>
            </w:r>
          </w:p>
        </w:tc>
        <w:tc>
          <w:tcPr>
            <w:tcW w:type="dxa" w:w="7030"/>
          </w:tcPr>
          <w:p>
            <w:pPr>
              <w:keepNext/>
            </w:pPr>
            <w:r>
              <w:rPr>
                <w:sz w:val="19"/>
              </w:rPr>
              <w:t>Supabase, MongoDB Atlas, Neon, PlanetScale, Firebase, Upstash</w:t>
            </w:r>
          </w:p>
        </w:tc>
      </w:tr>
      <w:tr>
        <w:trPr>
          <w:cantSplit/>
        </w:trPr>
        <w:tc>
          <w:tcPr>
            <w:tcW w:type="dxa" w:w="2608"/>
            <w:shd w:val="clear" w:fill="F1EDFF"/>
          </w:tcPr>
          <w:p>
            <w:pPr>
              <w:keepNext/>
            </w:pPr>
            <w:r>
              <w:rPr>
                <w:b/>
                <w:sz w:val="19"/>
              </w:rPr>
              <w:t>AI APIs</w:t>
            </w:r>
          </w:p>
        </w:tc>
        <w:tc>
          <w:tcPr>
            <w:tcW w:type="dxa" w:w="7030"/>
            <w:shd w:val="clear" w:fill="F1EDFF"/>
          </w:tcPr>
          <w:p>
            <w:pPr>
              <w:keepNext/>
            </w:pPr>
            <w:r>
              <w:rPr>
                <w:sz w:val="19"/>
              </w:rPr>
              <w:t>OpenAI, Anthropic, Mistral, Replicate, ElevenLabs, fal.ai, Hugging Face</w:t>
            </w:r>
          </w:p>
        </w:tc>
      </w:tr>
      <w:tr>
        <w:trPr>
          <w:cantSplit/>
        </w:trPr>
        <w:tc>
          <w:tcPr>
            <w:tcW w:type="dxa" w:w="2608"/>
          </w:tcPr>
          <w:p>
            <w:pPr>
              <w:keepNext/>
            </w:pPr>
            <w:r>
              <w:rPr>
                <w:b/>
                <w:sz w:val="19"/>
              </w:rPr>
              <w:t>Observability</w:t>
            </w:r>
          </w:p>
        </w:tc>
        <w:tc>
          <w:tcPr>
            <w:tcW w:type="dxa" w:w="7030"/>
          </w:tcPr>
          <w:p>
            <w:pPr>
              <w:keepNext/>
            </w:pPr>
            <w:r>
              <w:rPr>
                <w:sz w:val="19"/>
              </w:rPr>
              <w:t>Sentry, Datadog, Better Stack, Grafana Cloud</w:t>
            </w:r>
          </w:p>
        </w:tc>
      </w:tr>
      <w:tr>
        <w:trPr>
          <w:cantSplit/>
        </w:trPr>
        <w:tc>
          <w:tcPr>
            <w:tcW w:type="dxa" w:w="2608"/>
            <w:shd w:val="clear" w:fill="F1EDFF"/>
          </w:tcPr>
          <w:p>
            <w:r>
              <w:rPr>
                <w:b/>
                <w:sz w:val="19"/>
              </w:rPr>
              <w:t>Dev tooling</w:t>
            </w:r>
          </w:p>
        </w:tc>
        <w:tc>
          <w:tcPr>
            <w:tcW w:type="dxa" w:w="7030"/>
            <w:shd w:val="clear" w:fill="F1EDFF"/>
          </w:tcPr>
          <w:p>
            <w:r>
              <w:rPr>
                <w:sz w:val="19"/>
              </w:rPr>
              <w:t>GitHub, GitLab, Docker, npm, JetBrains</w:t>
            </w:r>
          </w:p>
        </w:tc>
      </w:tr>
    </w:tbl>
    <w:p>
      <w:pPr>
        <w:spacing w:after="40"/>
      </w:pPr>
    </w:p>
    <w:p>
      <w:pPr>
        <w:keepNext/>
        <w:spacing w:before="320" w:after="120"/>
      </w:pPr>
      <w:r>
        <w:rPr>
          <w:b/>
          <w:color w:val="4A30D9"/>
          <w:sz w:val="32"/>
        </w:rPr>
        <w:t>📊 What the report contains (fictional example — invented figures)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Metric</w:t>
            </w:r>
          </w:p>
        </w:tc>
        <w:tc>
          <w:tcPr>
            <w:tcW w:type="dxa" w:w="4195"/>
            <w:shd w:val="clear" w:fill="6B4EFF"/>
          </w:tcPr>
          <w:p>
            <w:pPr>
              <w:keepNext/>
            </w:pPr>
            <w:r>
              <w:rPr>
                <w:b/>
                <w:color w:val="FFFFFF"/>
                <w:sz w:val="19"/>
              </w:rPr>
              <w:t>Example (fictional)</w:t>
            </w:r>
          </w:p>
        </w:tc>
        <w:tc>
          <w:tcPr>
            <w:tcW w:type="dxa" w:w="2835"/>
            <w:shd w:val="clear" w:fill="6B4EFF"/>
          </w:tcPr>
          <w:p>
            <w:pPr>
              <w:keepNext/>
            </w:pPr>
            <w:r>
              <w:rPr>
                <w:b/>
                <w:color w:val="FFFFFF"/>
                <w:sz w:val="19"/>
              </w:rPr>
              <w:t>Condition</w:t>
            </w:r>
          </w:p>
        </w:tc>
      </w:tr>
      <w:tr>
        <w:trPr>
          <w:cantSplit/>
        </w:trPr>
        <w:tc>
          <w:tcPr>
            <w:tcW w:type="dxa" w:w="2608"/>
          </w:tcPr>
          <w:p>
            <w:pPr>
              <w:keepNext/>
            </w:pPr>
            <w:r>
              <w:rPr>
                <w:b/>
                <w:sz w:val="19"/>
              </w:rPr>
              <w:t>Infra cost / month + trend</w:t>
            </w:r>
          </w:p>
        </w:tc>
        <w:tc>
          <w:tcPr>
            <w:tcW w:type="dxa" w:w="4195"/>
          </w:tcPr>
          <w:p>
            <w:pPr>
              <w:keepNext/>
            </w:pPr>
            <w:r>
              <w:rPr>
                <w:sz w:val="19"/>
              </w:rPr>
              <w:t>€412/month, +18% over 12 months</w:t>
            </w:r>
          </w:p>
        </w:tc>
        <w:tc>
          <w:tcPr>
            <w:tcW w:type="dxa" w:w="2835"/>
          </w:tcPr>
          <w:p>
            <w:pPr>
              <w:keepNext/>
            </w:pPr>
            <w:r>
              <w:rPr>
                <w:sz w:val="19"/>
              </w:rPr>
              <w:t>Always (Qonto alone is enough)</w:t>
            </w:r>
          </w:p>
        </w:tc>
      </w:tr>
      <w:tr>
        <w:trPr>
          <w:cantSplit/>
        </w:trPr>
        <w:tc>
          <w:tcPr>
            <w:tcW w:type="dxa" w:w="2608"/>
            <w:shd w:val="clear" w:fill="F1EDFF"/>
          </w:tcPr>
          <w:p>
            <w:pPr>
              <w:keepNext/>
            </w:pPr>
            <w:r>
              <w:rPr>
                <w:b/>
                <w:sz w:val="19"/>
              </w:rPr>
              <w:t>€/user</w:t>
            </w:r>
          </w:p>
        </w:tc>
        <w:tc>
          <w:tcPr>
            <w:tcW w:type="dxa" w:w="4195"/>
            <w:shd w:val="clear" w:fill="F1EDFF"/>
          </w:tcPr>
          <w:p>
            <w:pPr>
              <w:keepNext/>
            </w:pPr>
            <w:r>
              <w:rPr>
                <w:sz w:val="19"/>
              </w:rPr>
              <w:t>Supabase €180/month ÷ 1,240 users = €0.15/user</w:t>
            </w:r>
          </w:p>
        </w:tc>
        <w:tc>
          <w:tcPr>
            <w:tcW w:type="dxa" w:w="2835"/>
            <w:shd w:val="clear" w:fill="F1EDFF"/>
          </w:tcPr>
          <w:p>
            <w:pPr>
              <w:keepNext/>
            </w:pPr>
            <w:r>
              <w:rPr>
                <w:sz w:val="19"/>
              </w:rPr>
              <w:t>Only when a real count was measured</w:t>
            </w:r>
          </w:p>
        </w:tc>
      </w:tr>
      <w:tr>
        <w:trPr>
          <w:cantSplit/>
        </w:trPr>
        <w:tc>
          <w:tcPr>
            <w:tcW w:type="dxa" w:w="2608"/>
          </w:tcPr>
          <w:p>
            <w:pPr>
              <w:keepNext/>
            </w:pPr>
            <w:r>
              <w:rPr>
                <w:b/>
                <w:sz w:val="19"/>
              </w:rPr>
              <w:t>€/project</w:t>
            </w:r>
          </w:p>
        </w:tc>
        <w:tc>
          <w:tcPr>
            <w:tcW w:type="dxa" w:w="4195"/>
          </w:tcPr>
          <w:p>
            <w:pPr>
              <w:keepNext/>
            </w:pPr>
            <w:r>
              <w:rPr>
                <w:sz w:val="19"/>
              </w:rPr>
              <w:t>Vercel bill prorated by deployment activity — rule shown</w:t>
            </w:r>
          </w:p>
        </w:tc>
        <w:tc>
          <w:tcPr>
            <w:tcW w:type="dxa" w:w="2835"/>
          </w:tcPr>
          <w:p>
            <w:pPr>
              <w:keepNext/>
            </w:pPr>
            <w:r>
              <w:rPr>
                <w:sz w:val="19"/>
              </w:rPr>
              <w:t>Vercel MCP present</w:t>
            </w:r>
          </w:p>
        </w:tc>
      </w:tr>
      <w:tr>
        <w:trPr>
          <w:cantSplit/>
        </w:trPr>
        <w:tc>
          <w:tcPr>
            <w:tcW w:type="dxa" w:w="2608"/>
            <w:shd w:val="clear" w:fill="F1EDFF"/>
          </w:tcPr>
          <w:p>
            <w:pPr>
              <w:keepNext/>
            </w:pPr>
            <w:r>
              <w:rPr>
                <w:b/>
                <w:sz w:val="19"/>
              </w:rPr>
              <w:t>Margin drift</w:t>
            </w:r>
          </w:p>
        </w:tc>
        <w:tc>
          <w:tcPr>
            <w:tcW w:type="dxa" w:w="4195"/>
            <w:shd w:val="clear" w:fill="F1EDFF"/>
          </w:tcPr>
          <w:p>
            <w:pPr>
              <w:keepNext/>
            </w:pPr>
            <w:r>
              <w:rPr>
                <w:sz w:val="19"/>
              </w:rPr>
              <w:t>Infra: 3.1% → 4.8% of receipts in 6 months</w:t>
            </w:r>
          </w:p>
        </w:tc>
        <w:tc>
          <w:tcPr>
            <w:tcW w:type="dxa" w:w="2835"/>
            <w:shd w:val="clear" w:fill="F1EDFF"/>
          </w:tcPr>
          <w:p>
            <w:pPr>
              <w:keepNext/>
            </w:pPr>
            <w:r>
              <w:rPr>
                <w:sz w:val="19"/>
              </w:rPr>
              <w:t>Stated MRR, or receipts as an announced proxy</w:t>
            </w:r>
          </w:p>
        </w:tc>
      </w:tr>
      <w:tr>
        <w:trPr>
          <w:cantSplit/>
        </w:trPr>
        <w:tc>
          <w:tcPr>
            <w:tcW w:type="dxa" w:w="2608"/>
          </w:tcPr>
          <w:p>
            <w:r>
              <w:rPr>
                <w:b/>
                <w:sz w:val="19"/>
              </w:rPr>
              <w:t>Bleeders</w:t>
            </w:r>
          </w:p>
        </w:tc>
        <w:tc>
          <w:tcPr>
            <w:tcW w:type="dxa" w:w="4195"/>
          </w:tcPr>
          <w:p>
            <w:r>
              <w:rPr>
                <w:sz w:val="19"/>
              </w:rPr>
              <w:t>1 side-project = 80% of the Vercel bill, 0 deployments in 3 months</w:t>
            </w:r>
          </w:p>
        </w:tc>
        <w:tc>
          <w:tcPr>
            <w:tcW w:type="dxa" w:w="2835"/>
          </w:tcPr>
          <w:p>
            <w:r>
              <w:rPr>
                <w:sz w:val="19"/>
              </w:rPr>
              <w:t>Product MCP present</w:t>
            </w:r>
          </w:p>
        </w:tc>
      </w:tr>
    </w:tbl>
    <w:p>
      <w:pPr>
        <w:spacing w:after="40"/>
      </w:pPr>
    </w:p>
    <w:p>
      <w:pPr>
        <w:keepNext/>
        <w:spacing w:before="320" w:after="120"/>
      </w:pPr>
      <w:r>
        <w:rPr>
          <w:b/>
          <w:color w:val="4A30D9"/>
          <w:sz w:val="32"/>
        </w:rPr>
        <w:t>📤 Output formats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2608"/>
            <w:shd w:val="clear" w:fill="6B4EFF"/>
          </w:tcPr>
          <w:p>
            <w:pPr>
              <w:keepNext/>
            </w:pPr>
            <w:r>
              <w:rPr>
                <w:b/>
                <w:color w:val="FFFFFF"/>
                <w:sz w:val="19"/>
              </w:rPr>
              <w:t>Output</w:t>
            </w:r>
          </w:p>
        </w:tc>
        <w:tc>
          <w:tcPr>
            <w:tcW w:type="dxa" w:w="3969"/>
            <w:shd w:val="clear" w:fill="6B4EFF"/>
          </w:tcPr>
          <w:p>
            <w:pPr>
              <w:keepNext/>
            </w:pPr>
            <w:r>
              <w:rPr>
                <w:b/>
                <w:color w:val="FFFFFF"/>
                <w:sz w:val="19"/>
              </w:rPr>
              <w:t>Format</w:t>
            </w:r>
          </w:p>
        </w:tc>
        <w:tc>
          <w:tcPr>
            <w:tcW w:type="dxa" w:w="3061"/>
            <w:shd w:val="clear" w:fill="6B4EFF"/>
          </w:tcPr>
          <w:p>
            <w:pPr>
              <w:keepNext/>
            </w:pPr>
            <w:r>
              <w:rPr>
                <w:b/>
                <w:color w:val="FFFFFF"/>
                <w:sz w:val="19"/>
              </w:rPr>
              <w:t>When</w:t>
            </w:r>
          </w:p>
        </w:tc>
      </w:tr>
      <w:tr>
        <w:trPr>
          <w:cantSplit/>
        </w:trPr>
        <w:tc>
          <w:tcPr>
            <w:tcW w:type="dxa" w:w="2608"/>
          </w:tcPr>
          <w:p>
            <w:pPr>
              <w:keepNext/>
            </w:pPr>
            <w:r>
              <w:rPr>
                <w:b/>
                <w:sz w:val="19"/>
              </w:rPr>
              <w:t>Conversation reply</w:t>
            </w:r>
          </w:p>
        </w:tc>
        <w:tc>
          <w:tcPr>
            <w:tcW w:type="dxa" w:w="3969"/>
          </w:tcPr>
          <w:p>
            <w:pPr>
              <w:keepNext/>
            </w:pPr>
            <w:r>
              <w:rPr>
                <w:sz w:val="19"/>
              </w:rPr>
              <w:t>Markdown tables: infra P&amp;L (vendor × month), unit economics, bleeders</w:t>
            </w:r>
          </w:p>
        </w:tc>
        <w:tc>
          <w:tcPr>
            <w:tcW w:type="dxa" w:w="3061"/>
          </w:tcPr>
          <w:p>
            <w:pPr>
              <w:keepNext/>
            </w:pPr>
            <w:r>
              <w:rPr>
                <w:sz w:val="19"/>
              </w:rPr>
              <w:t>Always — the baseline</w:t>
            </w:r>
          </w:p>
        </w:tc>
      </w:tr>
      <w:tr>
        <w:trPr>
          <w:cantSplit/>
        </w:trPr>
        <w:tc>
          <w:tcPr>
            <w:tcW w:type="dxa" w:w="2608"/>
            <w:shd w:val="clear" w:fill="F1EDFF"/>
          </w:tcPr>
          <w:p>
            <w:pPr>
              <w:keepNext/>
            </w:pPr>
            <w:r>
              <w:rPr>
                <w:b/>
                <w:sz w:val="19"/>
              </w:rPr>
              <w:t>Interactive dashboard</w:t>
            </w:r>
          </w:p>
        </w:tc>
        <w:tc>
          <w:tcPr>
            <w:tcW w:type="dxa" w:w="3969"/>
            <w:shd w:val="clear" w:fill="F1EDFF"/>
          </w:tcPr>
          <w:p>
            <w:pPr>
              <w:keepNext/>
            </w:pPr>
            <w:r>
              <w:rPr>
                <w:sz w:val="19"/>
              </w:rPr>
              <w:t>HTML file/artifact: bars per family, €/user gauge, drift curve, bleeders spotlight</w:t>
            </w:r>
          </w:p>
        </w:tc>
        <w:tc>
          <w:tcPr>
            <w:tcW w:type="dxa" w:w="3061"/>
            <w:shd w:val="clear" w:fill="F1EDFF"/>
          </w:tcPr>
          <w:p>
            <w:pPr>
              <w:keepNext/>
            </w:pPr>
            <w:r>
              <w:rPr>
                <w:sz w:val="19"/>
              </w:rPr>
              <w:t>When the host renders files; fallback to tables</w:t>
            </w:r>
          </w:p>
        </w:tc>
      </w:tr>
      <w:tr>
        <w:trPr>
          <w:cantSplit/>
        </w:trPr>
        <w:tc>
          <w:tcPr>
            <w:tcW w:type="dxa" w:w="2608"/>
          </w:tcPr>
          <w:p>
            <w:r>
              <w:rPr>
                <w:b/>
                <w:sz w:val="19"/>
              </w:rPr>
              <w:t>Degraded mode</w:t>
            </w:r>
          </w:p>
        </w:tc>
        <w:tc>
          <w:tcPr>
            <w:tcW w:type="dxa" w:w="3969"/>
          </w:tcPr>
          <w:p>
            <w:r>
              <w:rPr>
                <w:sz w:val="19"/>
              </w:rPr>
              <w:t>Same tables minus €/user and per-project allocation — announced</w:t>
            </w:r>
          </w:p>
        </w:tc>
        <w:tc>
          <w:tcPr>
            <w:tcW w:type="dxa" w:w="3061"/>
          </w:tcPr>
          <w:p>
            <w:r>
              <w:rPr>
                <w:sz w:val="19"/>
              </w:rPr>
              <w:t>Without the Vercel/Supabase MCPs</w:t>
            </w:r>
          </w:p>
        </w:tc>
      </w:tr>
    </w:tbl>
    <w:p>
      <w:pPr>
        <w:spacing w:after="40"/>
      </w:pPr>
    </w:p>
    <w:p>
      <w:r>
        <w:br w:type="page"/>
      </w:r>
    </w:p>
    <w:p>
      <w:pPr>
        <w:keepNext/>
        <w:spacing w:before="320" w:after="120"/>
      </w:pPr>
      <w:r>
        <w:rPr>
          <w:b/>
          <w:color w:val="4A30D9"/>
          <w:sz w:val="32"/>
        </w:rPr>
        <w:t>🎬 Demo video</w:t>
      </w:r>
    </w:p>
    <w:p>
      <w:r>
        <w:rPr>
          <w:b w:val="0"/>
          <w:i w:val="0"/>
          <w:sz w:val="21"/>
        </w:rPr>
        <w:t>The ≤ 3-minute demo attached to the PR walks through: the MRR everyone knows → the infra debits isolated from a real account → product telemetry plugged in → the reveal (the real €/user, and the side-project that had been bleeding for months) → the final dashboard. (Shooting script kept internal, out of the repository.)</w:t>
      </w:r>
    </w:p>
    <w:p>
      <w:pPr>
        <w:keepNext/>
        <w:spacing w:before="320" w:after="120"/>
      </w:pPr>
      <w:r>
        <w:rPr>
          <w:b/>
          <w:color w:val="4A30D9"/>
          <w:sz w:val="32"/>
        </w:rPr>
        <w:t>💡 Roadmap ideas</w:t>
      </w:r>
    </w:p>
    <w:tbl>
      <w:tblPr>
        <w:tblStyle w:val="TableGrid"/>
        <w:tblW w:type="auto" w:w="0"/>
        <w:tblLayout w:type="autofit"/>
        <w:tblLook w:firstColumn="1" w:firstRow="1" w:lastColumn="0" w:lastRow="0" w:noHBand="0" w:noVBand="1" w:val="04A0"/>
      </w:tblPr>
      <w:tblGrid>
        <w:gridCol w:w="3213"/>
        <w:gridCol w:w="3213"/>
        <w:gridCol w:w="3213"/>
      </w:tblGrid>
      <w:tr>
        <w:trPr>
          <w:cantSplit/>
        </w:trPr>
        <w:tc>
          <w:tcPr>
            <w:tcW w:type="dxa" w:w="4762"/>
            <w:shd w:val="clear" w:fill="6B4EFF"/>
          </w:tcPr>
          <w:p>
            <w:pPr>
              <w:keepNext/>
            </w:pPr>
            <w:r>
              <w:rPr>
                <w:b/>
                <w:color w:val="FFFFFF"/>
                <w:sz w:val="19"/>
              </w:rPr>
              <w:t>Idea</w:t>
            </w:r>
          </w:p>
        </w:tc>
        <w:tc>
          <w:tcPr>
            <w:tcW w:type="dxa" w:w="1474"/>
            <w:shd w:val="clear" w:fill="6B4EFF"/>
          </w:tcPr>
          <w:p>
            <w:pPr>
              <w:keepNext/>
            </w:pPr>
            <w:r>
              <w:rPr>
                <w:b/>
                <w:color w:val="FFFFFF"/>
                <w:sz w:val="19"/>
              </w:rPr>
              <w:t>Effort</w:t>
            </w:r>
          </w:p>
        </w:tc>
        <w:tc>
          <w:tcPr>
            <w:tcW w:type="dxa" w:w="3402"/>
            <w:shd w:val="clear" w:fill="6B4EFF"/>
          </w:tcPr>
          <w:p>
            <w:pPr>
              <w:keepNext/>
            </w:pPr>
            <w:r>
              <w:rPr>
                <w:b/>
                <w:color w:val="FFFFFF"/>
                <w:sz w:val="19"/>
              </w:rPr>
              <w:t>Note</w:t>
            </w:r>
          </w:p>
        </w:tc>
      </w:tr>
      <w:tr>
        <w:trPr>
          <w:cantSplit/>
        </w:trPr>
        <w:tc>
          <w:tcPr>
            <w:tcW w:type="dxa" w:w="4762"/>
          </w:tcPr>
          <w:p>
            <w:pPr>
              <w:keepNext/>
            </w:pPr>
            <w:r>
              <w:rPr>
                <w:b/>
                <w:sz w:val="19"/>
              </w:rPr>
              <w:t>Stripe/payments MCP for a measured MRR (no more proxy)</w:t>
            </w:r>
          </w:p>
        </w:tc>
        <w:tc>
          <w:tcPr>
            <w:tcW w:type="dxa" w:w="1474"/>
          </w:tcPr>
          <w:p>
            <w:pPr>
              <w:keepNext/>
            </w:pPr>
            <w:r>
              <w:rPr>
                <w:sz w:val="19"/>
              </w:rPr>
              <w:t>Low</w:t>
            </w:r>
          </w:p>
        </w:tc>
        <w:tc>
          <w:tcPr>
            <w:tcW w:type="dxa" w:w="3402"/>
          </w:tcPr>
          <w:p>
            <w:pPr>
              <w:keepNext/>
            </w:pPr>
            <w:r>
              <w:rPr>
                <w:sz w:val="19"/>
              </w:rPr>
              <w:t>Dynamic detection, same logic as Vercel/Supabase</w:t>
            </w:r>
          </w:p>
        </w:tc>
      </w:tr>
      <w:tr>
        <w:trPr>
          <w:cantSplit/>
        </w:trPr>
        <w:tc>
          <w:tcPr>
            <w:tcW w:type="dxa" w:w="4762"/>
            <w:shd w:val="clear" w:fill="F1EDFF"/>
          </w:tcPr>
          <w:p>
            <w:pPr>
              <w:keepNext/>
            </w:pPr>
            <w:r>
              <w:rPr>
                <w:b/>
                <w:sz w:val="19"/>
              </w:rPr>
              <w:t>Monthly alert: “your gross margin drifted +N points”</w:t>
            </w:r>
          </w:p>
        </w:tc>
        <w:tc>
          <w:tcPr>
            <w:tcW w:type="dxa" w:w="1474"/>
            <w:shd w:val="clear" w:fill="F1EDFF"/>
          </w:tcPr>
          <w:p>
            <w:pPr>
              <w:keepNext/>
            </w:pPr>
            <w:r>
              <w:rPr>
                <w:sz w:val="19"/>
              </w:rPr>
              <w:t>Medium</w:t>
            </w:r>
          </w:p>
        </w:tc>
        <w:tc>
          <w:tcPr>
            <w:tcW w:type="dxa" w:w="3402"/>
            <w:shd w:val="clear" w:fill="F1EDFF"/>
          </w:tcPr>
          <w:p>
            <w:pPr>
              <w:keepNext/>
            </w:pPr>
            <w:r>
              <w:rPr>
                <w:sz w:val="19"/>
              </w:rPr>
              <w:t>First-of-the-month ritual, pairs with qonto-tax-pilot</w:t>
            </w:r>
          </w:p>
        </w:tc>
      </w:tr>
      <w:tr>
        <w:trPr>
          <w:cantSplit/>
        </w:trPr>
        <w:tc>
          <w:tcPr>
            <w:tcW w:type="dxa" w:w="4762"/>
          </w:tcPr>
          <w:p>
            <w:pPr>
              <w:keepNext/>
            </w:pPr>
            <w:r>
              <w:rPr>
                <w:b/>
                <w:sz w:val="19"/>
              </w:rPr>
              <w:t>Internal benchmark: €/user vs 12 months ago</w:t>
            </w:r>
          </w:p>
        </w:tc>
        <w:tc>
          <w:tcPr>
            <w:tcW w:type="dxa" w:w="1474"/>
          </w:tcPr>
          <w:p>
            <w:pPr>
              <w:keepNext/>
            </w:pPr>
            <w:r>
              <w:rPr>
                <w:sz w:val="19"/>
              </w:rPr>
              <w:t>Low</w:t>
            </w:r>
          </w:p>
        </w:tc>
        <w:tc>
          <w:tcPr>
            <w:tcW w:type="dxa" w:w="3402"/>
          </w:tcPr>
          <w:p>
            <w:pPr>
              <w:keepNext/>
            </w:pPr>
            <w:r>
              <w:rPr>
                <w:sz w:val="19"/>
              </w:rPr>
              <w:t>Reuses the history already scanned</w:t>
            </w:r>
          </w:p>
        </w:tc>
      </w:tr>
      <w:tr>
        <w:trPr>
          <w:cantSplit/>
        </w:trPr>
        <w:tc>
          <w:tcPr>
            <w:tcW w:type="dxa" w:w="4762"/>
            <w:shd w:val="clear" w:fill="F1EDFF"/>
          </w:tcPr>
          <w:p>
            <w:pPr>
              <w:keepNext/>
            </w:pPr>
            <w:r>
              <w:rPr>
                <w:b/>
                <w:sz w:val="19"/>
              </w:rPr>
              <w:t>Per-vendor rightsizing (pricing checked online at analysis time)</w:t>
            </w:r>
          </w:p>
        </w:tc>
        <w:tc>
          <w:tcPr>
            <w:tcW w:type="dxa" w:w="1474"/>
            <w:shd w:val="clear" w:fill="F1EDFF"/>
          </w:tcPr>
          <w:p>
            <w:pPr>
              <w:keepNext/>
            </w:pPr>
            <w:r>
              <w:rPr>
                <w:sz w:val="19"/>
              </w:rPr>
              <w:t>Medium</w:t>
            </w:r>
          </w:p>
        </w:tc>
        <w:tc>
          <w:tcPr>
            <w:tcW w:type="dxa" w:w="3402"/>
            <w:shd w:val="clear" w:fill="F1EDFF"/>
          </w:tcPr>
          <w:p>
            <w:pPr>
              <w:keepNext/>
            </w:pPr>
            <w:r>
              <w:rPr>
                <w:sz w:val="19"/>
              </w:rPr>
              <w:t>Never from model memory</w:t>
            </w:r>
          </w:p>
        </w:tc>
      </w:tr>
      <w:tr>
        <w:trPr>
          <w:cantSplit/>
        </w:trPr>
        <w:tc>
          <w:tcPr>
            <w:tcW w:type="dxa" w:w="4762"/>
          </w:tcPr>
          <w:p>
            <w:r>
              <w:rPr>
                <w:b/>
                <w:sz w:val="19"/>
              </w:rPr>
              <w:t>Cross-check with qonto-subscription-audit</w:t>
            </w:r>
          </w:p>
        </w:tc>
        <w:tc>
          <w:tcPr>
            <w:tcW w:type="dxa" w:w="1474"/>
          </w:tcPr>
          <w:p>
            <w:r>
              <w:rPr>
                <w:sz w:val="19"/>
              </w:rPr>
              <w:t>Low</w:t>
            </w:r>
          </w:p>
        </w:tc>
        <w:tc>
          <w:tcPr>
            <w:tcW w:type="dxa" w:w="3402"/>
          </w:tcPr>
          <w:p>
            <w:r>
              <w:rPr>
                <w:sz w:val="19"/>
              </w:rPr>
              <w:t>Both skills share recurrence detection</w:t>
            </w:r>
          </w:p>
        </w:tc>
      </w:tr>
    </w:tbl>
    <w:p>
      <w:pPr>
        <w:spacing w:after="40"/>
      </w:pPr>
    </w:p>
    <w:p>
      <w:pPr>
        <w:keepNext/>
        <w:spacing w:before="320" w:after="120"/>
      </w:pPr>
      <w:r>
        <w:rPr>
          <w:b/>
          <w:color w:val="4A30D9"/>
          <w:sz w:val="32"/>
        </w:rPr>
        <w:t>🛡 Guardrails</w:t>
      </w:r>
    </w:p>
    <w:p>
      <w:pPr>
        <w:pStyle w:val="ListBullet"/>
        <w:spacing w:after="60"/>
      </w:pPr>
      <w:r>
        <w:rPr>
          <w:sz w:val="21"/>
        </w:rPr>
        <w:t>Never invents a product metric: no measured count → no €/user, said plainly. Doc examples are fictional and flagged as such</w:t>
      </w:r>
    </w:p>
    <w:p>
      <w:pPr>
        <w:pStyle w:val="ListBullet"/>
        <w:spacing w:after="60"/>
      </w:pPr>
      <w:r>
        <w:rPr>
          <w:sz w:val="21"/>
        </w:rPr>
        <w:t>Allocation is an editorial choice, shown: every shared-cost proration is announced on the line, never silent</w:t>
      </w:r>
    </w:p>
    <w:p>
      <w:pPr>
        <w:pStyle w:val="ListBullet"/>
        <w:spacing w:after="60"/>
      </w:pPr>
      <w:r>
        <w:rPr>
          <w:sz w:val="21"/>
        </w:rPr>
        <w:t>Read-only SQL: execute_sql limited to single SELECT count queries on a user-confirmed table</w:t>
      </w:r>
    </w:p>
    <w:p>
      <w:pPr>
        <w:pStyle w:val="ListBullet"/>
        <w:spacing w:after="60"/>
      </w:pPr>
      <w:r>
        <w:rPr>
          <w:sz w:val="21"/>
        </w:rPr>
        <w:t>Vendor pricing never asserted from memory — the account's numbers, yes; “wrong plan”, no</w:t>
      </w:r>
    </w:p>
    <w:p>
      <w:pPr>
        <w:pStyle w:val="ListBullet"/>
        <w:spacing w:after="60"/>
      </w:pPr>
      <w:r>
        <w:rPr>
          <w:sz w:val="21"/>
        </w:rPr>
        <w:t>Masked IBANs (last 4 digits) · pagination ≤ 50 everywhere · honest degradation</w:t>
      </w:r>
    </w:p>
    <w:p>
      <w:pPr>
        <w:spacing w:before="360"/>
        <w:jc w:val="center"/>
      </w:pPr>
      <w:r>
        <w:rPr>
          <w:color w:val="5A5670"/>
          <w:sz w:val="17"/>
        </w:rPr>
        <w:t>qonto-infra-margin · English documentation · Qonto × Anthropic MCP Hackathon · July 2026 · PR deliverable: SKILL.md · French version: doc-qonto-infra-margin.fr.docx</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1D1B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