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qonto-infra-margin</w:t>
      </w:r>
    </w:p>
    <w:p>
      <w:pPr>
        <w:jc w:val="center"/>
      </w:pPr>
      <w:r>
        <w:rPr>
          <w:b/>
          <w:color w:val="1D1B29"/>
          <w:sz w:val="26"/>
        </w:rPr>
        <w:t>Ton infra te coûte combien, par utilisateur ? — l'unit economics réel, depuis le compte Qonto</w:t>
      </w:r>
    </w:p>
    <w:p>
      <w:pPr>
        <w:spacing w:after="280"/>
        <w:jc w:val="center"/>
      </w:pPr>
      <w:r>
        <w:rPr>
          <w:color w:val="5A5670"/>
          <w:sz w:val="19"/>
        </w:rPr>
        <w:t>Hackathon Qonto × Anthropic MCP  ·  100 % lecture, zéro écriture  ·  €/user mesuré, jamais inventé  ·  Multi-MCP détecté dynamiquement</w:t>
      </w:r>
    </w:p>
    <w:p>
      <w:pPr>
        <w:pBdr>
          <w:bottom w:val="single" w:sz="24" w:color="6B4EFF"/>
        </w:pBdr>
        <w:spacing w:after="200"/>
      </w:pPr>
    </w:p>
    <w:p>
      <w:pPr>
        <w:keepNext/>
        <w:spacing w:before="320" w:after="120"/>
      </w:pPr>
      <w:r>
        <w:rPr>
          <w:b/>
          <w:color w:val="4A30D9"/>
          <w:sz w:val="32"/>
        </w:rPr>
        <w:t>🎯 Le pitch</w:t>
      </w:r>
    </w:p>
    <w:p>
      <w:r>
        <w:rPr>
          <w:b w:val="0"/>
          <w:i w:val="0"/>
          <w:sz w:val="21"/>
        </w:rPr>
        <w:t>Un founder SaaS récite son MRR par cœur. Son coût d'infra par utilisateur ? Silence. Les factures Vercel, Supabase, OpenAI, AWS se noient dans les débits carte, et la marge brute dérive sans que personne ne regarde. Le skill répond avec ce qui est réellement sorti du compte :</w:t>
      </w:r>
    </w:p>
    <w:p>
      <w:pPr>
        <w:pStyle w:val="ListBullet"/>
        <w:spacing w:after="60"/>
      </w:pPr>
      <w:r>
        <w:rPr>
          <w:sz w:val="21"/>
        </w:rPr>
        <w:t>1. Débits infra isolés et classés — Vercel, Supabase, Sentry, OpenAI, Anthropic, AWS, Scaleway, OVH… reconnus par la culture générale de Claude dès la première occurrence, graphies normalisées, classés par famille (cloud, data, IA, observabilité, tooling)</w:t>
      </w:r>
    </w:p>
    <w:p>
      <w:pPr>
        <w:pStyle w:val="ListBullet"/>
        <w:spacing w:after="60"/>
      </w:pPr>
      <w:r>
        <w:rPr>
          <w:sz w:val="21"/>
        </w:rPr>
        <w:t>2. Croisement avec la télémétrie produit — via les MCP connectés : Vercel (projets, déploiements), Supabase (projets, users via SELECT count en lecture seule), Sentry en option</w:t>
      </w:r>
    </w:p>
    <w:p>
      <w:pPr>
        <w:pStyle w:val="ListBullet"/>
        <w:spacing w:after="60"/>
      </w:pPr>
      <w:r>
        <w:rPr>
          <w:sz w:val="21"/>
        </w:rPr>
        <w:t>3. Unit economics réel — €/utilisateur, €/projet (prorata annoncé), dérive de marge brute mois par mois face aux encaissements</w:t>
      </w:r>
    </w:p>
    <w:p>
      <w:pPr>
        <w:pStyle w:val="ListBullet"/>
        <w:spacing w:after="60"/>
      </w:pPr>
      <w:r>
        <w:rPr>
          <w:sz w:val="21"/>
        </w:rPr>
        <w:t>4. Les side-projects qui saignent — facturés tous les mois mais zéro déploiement depuis 90 jours, bases vides sur palier payant, API IA qui croît plus vite que les users</w:t>
      </w:r>
    </w:p>
    <w:p>
      <w:pPr>
        <w:keepNext/>
        <w:spacing w:before="320" w:after="120"/>
      </w:pPr>
      <w:r>
        <w:rPr>
          <w:b/>
          <w:color w:val="4A30D9"/>
          <w:sz w:val="32"/>
        </w:rPr>
        <w:t>📋 Prérequis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Prérequis</w:t>
            </w:r>
          </w:p>
        </w:tc>
        <w:tc>
          <w:tcPr>
            <w:tcW w:type="dxa" w:w="5443"/>
            <w:shd w:val="clear" w:fill="6B4EFF"/>
          </w:tcPr>
          <w:p>
            <w:pPr>
              <w:keepNext/>
            </w:pPr>
            <w:r>
              <w:rPr>
                <w:b/>
                <w:color w:val="FFFFFF"/>
                <w:sz w:val="19"/>
              </w:rPr>
              <w:t>Détail</w:t>
            </w:r>
          </w:p>
        </w:tc>
        <w:tc>
          <w:tcPr>
            <w:tcW w:type="dxa" w:w="1814"/>
            <w:shd w:val="clear" w:fill="6B4EFF"/>
          </w:tcPr>
          <w:p>
            <w:pPr>
              <w:keepNext/>
            </w:pPr>
            <w:r>
              <w:rPr>
                <w:b/>
                <w:color w:val="FFFFFF"/>
                <w:sz w:val="19"/>
              </w:rPr>
              <w:t>Obligatoire</w:t>
            </w:r>
          </w:p>
        </w:tc>
      </w:tr>
      <w:tr>
        <w:trPr>
          <w:cantSplit/>
        </w:trPr>
        <w:tc>
          <w:tcPr>
            <w:tcW w:type="dxa" w:w="2381"/>
          </w:tcPr>
          <w:p>
            <w:pPr>
              <w:keepNext/>
            </w:pPr>
            <w:r>
              <w:rPr>
                <w:b/>
                <w:sz w:val="19"/>
              </w:rPr>
              <w:t>Compte Qonto production</w:t>
            </w:r>
          </w:p>
        </w:tc>
        <w:tc>
          <w:tcPr>
            <w:tcW w:type="dxa" w:w="5443"/>
          </w:tcPr>
          <w:p>
            <w:pPr>
              <w:keepNext/>
            </w:pPr>
            <w:r>
              <w:rPr>
                <w:sz w:val="19"/>
              </w:rPr>
              <w:t>Le skill s'adapte à toute organisation — get_organization d'abord, zéro donnée en dur</w:t>
            </w:r>
          </w:p>
        </w:tc>
        <w:tc>
          <w:tcPr>
            <w:tcW w:type="dxa" w:w="1814"/>
          </w:tcPr>
          <w:p>
            <w:pPr>
              <w:keepNext/>
            </w:pPr>
            <w:r>
              <w:rPr>
                <w:sz w:val="19"/>
              </w:rPr>
              <w:t>✅ Oui</w:t>
            </w:r>
          </w:p>
        </w:tc>
      </w:tr>
      <w:tr>
        <w:trPr>
          <w:cantSplit/>
        </w:trPr>
        <w:tc>
          <w:tcPr>
            <w:tcW w:type="dxa" w:w="2381"/>
            <w:shd w:val="clear" w:fill="F1EDFF"/>
          </w:tcPr>
          <w:p>
            <w:pPr>
              <w:keepNext/>
            </w:pPr>
            <w:r>
              <w:rPr>
                <w:b/>
                <w:sz w:val="19"/>
              </w:rPr>
              <w:t>Pays</w:t>
            </w:r>
          </w:p>
        </w:tc>
        <w:tc>
          <w:tcPr>
            <w:tcW w:type="dxa" w:w="5443"/>
            <w:shd w:val="clear" w:fill="F1EDFF"/>
          </w:tcPr>
          <w:p>
            <w:pPr>
              <w:keepNext/>
            </w:pPr>
            <w:r>
              <w:rPr>
                <w:sz w:val="19"/>
              </w:rPr>
              <w:t>Universel — analyse identique pour tous les pays Qonto (FR, DE, ES, IT, AT, NL, BE, PT). La vérité = le débit du compte (côté EUR des factures USD, change inclus)</w:t>
            </w:r>
          </w:p>
        </w:tc>
        <w:tc>
          <w:tcPr>
            <w:tcW w:type="dxa" w:w="1814"/>
            <w:shd w:val="clear" w:fill="F1EDFF"/>
          </w:tcPr>
          <w:p>
            <w:pPr>
              <w:keepNext/>
            </w:pPr>
            <w:r>
              <w:rPr>
                <w:sz w:val="19"/>
              </w:rPr>
              <w:t>ℹ️ Détecté</w:t>
            </w:r>
          </w:p>
        </w:tc>
      </w:tr>
      <w:tr>
        <w:trPr>
          <w:cantSplit/>
        </w:trPr>
        <w:tc>
          <w:tcPr>
            <w:tcW w:type="dxa" w:w="2381"/>
          </w:tcPr>
          <w:p>
            <w:pPr>
              <w:keepNext/>
            </w:pPr>
            <w:r>
              <w:rPr>
                <w:b/>
                <w:sz w:val="19"/>
              </w:rPr>
              <w:t>MCP Qonto connecté</w:t>
            </w:r>
          </w:p>
        </w:tc>
        <w:tc>
          <w:tcPr>
            <w:tcW w:type="dxa" w:w="5443"/>
          </w:tcPr>
          <w:p>
            <w:pPr>
              <w:keepNext/>
            </w:pPr>
            <w:r>
              <w:rPr>
                <w:sz w:val="19"/>
              </w:rPr>
              <w:t>Connecteur officiel (claude.ai / Claude Desktop), login OAuth</w:t>
            </w:r>
          </w:p>
        </w:tc>
        <w:tc>
          <w:tcPr>
            <w:tcW w:type="dxa" w:w="1814"/>
          </w:tcPr>
          <w:p>
            <w:pPr>
              <w:keepNext/>
            </w:pPr>
            <w:r>
              <w:rPr>
                <w:sz w:val="19"/>
              </w:rPr>
              <w:t>✅ Oui</w:t>
            </w:r>
          </w:p>
        </w:tc>
      </w:tr>
      <w:tr>
        <w:trPr>
          <w:cantSplit/>
        </w:trPr>
        <w:tc>
          <w:tcPr>
            <w:tcW w:type="dxa" w:w="2381"/>
            <w:shd w:val="clear" w:fill="F1EDFF"/>
          </w:tcPr>
          <w:p>
            <w:pPr>
              <w:keepNext/>
            </w:pPr>
            <w:r>
              <w:rPr>
                <w:b/>
                <w:sz w:val="19"/>
              </w:rPr>
              <w:t>MCP Vercel</w:t>
            </w:r>
          </w:p>
        </w:tc>
        <w:tc>
          <w:tcPr>
            <w:tcW w:type="dxa" w:w="5443"/>
            <w:shd w:val="clear" w:fill="F1EDFF"/>
          </w:tcPr>
          <w:p>
            <w:pPr>
              <w:keepNext/>
            </w:pPr>
            <w:r>
              <w:rPr>
                <w:sz w:val="19"/>
              </w:rPr>
              <w:t>list_projects + list_deployments → allocation par projet, projets morts détectés</w:t>
            </w:r>
          </w:p>
        </w:tc>
        <w:tc>
          <w:tcPr>
            <w:tcW w:type="dxa" w:w="1814"/>
            <w:shd w:val="clear" w:fill="F1EDFF"/>
          </w:tcPr>
          <w:p>
            <w:pPr>
              <w:keepNext/>
            </w:pPr>
            <w:r>
              <w:rPr>
                <w:sz w:val="19"/>
              </w:rPr>
              <w:t>⭕ Recommandé</w:t>
            </w:r>
          </w:p>
        </w:tc>
      </w:tr>
      <w:tr>
        <w:trPr>
          <w:cantSplit/>
        </w:trPr>
        <w:tc>
          <w:tcPr>
            <w:tcW w:type="dxa" w:w="2381"/>
          </w:tcPr>
          <w:p>
            <w:pPr>
              <w:keepNext/>
            </w:pPr>
            <w:r>
              <w:rPr>
                <w:b/>
                <w:sz w:val="19"/>
              </w:rPr>
              <w:t>MCP Supabase</w:t>
            </w:r>
          </w:p>
        </w:tc>
        <w:tc>
          <w:tcPr>
            <w:tcW w:type="dxa" w:w="5443"/>
          </w:tcPr>
          <w:p>
            <w:pPr>
              <w:keepNext/>
            </w:pPr>
            <w:r>
              <w:rPr>
                <w:sz w:val="19"/>
              </w:rPr>
              <w:t>list_projects + execute_sql (SELECT count lecture seule, table confirmée) → €/utilisateur mesuré</w:t>
            </w:r>
          </w:p>
        </w:tc>
        <w:tc>
          <w:tcPr>
            <w:tcW w:type="dxa" w:w="1814"/>
          </w:tcPr>
          <w:p>
            <w:pPr>
              <w:keepNext/>
            </w:pPr>
            <w:r>
              <w:rPr>
                <w:sz w:val="19"/>
              </w:rPr>
              <w:t>⭕ Recommandé</w:t>
            </w:r>
          </w:p>
        </w:tc>
      </w:tr>
      <w:tr>
        <w:trPr>
          <w:cantSplit/>
        </w:trPr>
        <w:tc>
          <w:tcPr>
            <w:tcW w:type="dxa" w:w="2381"/>
            <w:shd w:val="clear" w:fill="F1EDFF"/>
          </w:tcPr>
          <w:p>
            <w:r>
              <w:rPr>
                <w:b/>
                <w:sz w:val="19"/>
              </w:rPr>
              <w:t>Historique ≥ 12 mois</w:t>
            </w:r>
          </w:p>
        </w:tc>
        <w:tc>
          <w:tcPr>
            <w:tcW w:type="dxa" w:w="5443"/>
            <w:shd w:val="clear" w:fill="F1EDFF"/>
          </w:tcPr>
          <w:p>
            <w:r>
              <w:rPr>
                <w:sz w:val="19"/>
              </w:rPr>
              <w:t>Tendances et plans annuels ne se voient que sur 12-36 mois ; en dessous, dégradation honnête</w:t>
            </w:r>
          </w:p>
        </w:tc>
        <w:tc>
          <w:tcPr>
            <w:tcW w:type="dxa" w:w="1814"/>
            <w:shd w:val="clear" w:fill="F1EDFF"/>
          </w:tcPr>
          <w:p>
            <w:r>
              <w:rPr>
                <w:sz w:val="19"/>
              </w:rPr>
              <w:t>⭕ Optionnel</w:t>
            </w:r>
          </w:p>
        </w:tc>
      </w:tr>
    </w:tbl>
    <w:p>
      <w:pPr>
        <w:spacing w:after="40"/>
      </w:pPr>
    </w:p>
    <w:p>
      <w:pPr>
        <w:keepNext/>
        <w:spacing w:before="320" w:after="120"/>
      </w:pPr>
      <w:r>
        <w:rPr>
          <w:b/>
          <w:color w:val="4A30D9"/>
          <w:sz w:val="32"/>
        </w:rPr>
        <w:t>⚙️ Fonctionnement global</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fr.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Schéma 1 — Fonctionnement global en 6 étapes (100 % lecture seule)</w:t>
      </w:r>
    </w:p>
    <w:p>
      <w:pPr>
        <w:keepNext/>
        <w:spacing w:before="200" w:after="120"/>
      </w:pPr>
      <w:r>
        <w:rPr>
          <w:b/>
          <w:color w:val="6B4EFF"/>
          <w:sz w:val="25"/>
        </w:rPr>
        <w:t>Robuste sur données sales</w:t>
      </w:r>
    </w:p>
    <w:p>
      <w:pPr>
        <w:pStyle w:val="ListBullet"/>
        <w:spacing w:after="60"/>
      </w:pPr>
      <w:r>
        <w:rPr>
          <w:sz w:val="21"/>
        </w:rPr>
        <w:t>Reconnaissance sans dictionnaire : fournisseurs identifiés dès leur première facture — une API IA sortie le mois dernier est reconnue sans mise à jour. Graphies fusionnées (AWS EMEA SARL = AMZN WEB SERVICES = AWS ; OPENAI *CHATGPT = OpenAI)</w:t>
      </w:r>
    </w:p>
    <w:p>
      <w:pPr>
        <w:pStyle w:val="ListBullet"/>
        <w:spacing w:after="60"/>
      </w:pPr>
      <w:r>
        <w:rPr>
          <w:sz w:val="21"/>
        </w:rPr>
        <w:t>Facturé en USD, débité en EUR : le skill totalise le débit EUR (change inclus) et explique pourquoi les dashboards fournisseurs affichent un autre chiffre</w:t>
      </w:r>
    </w:p>
    <w:p>
      <w:pPr>
        <w:pStyle w:val="ListBullet"/>
        <w:spacing w:after="60"/>
      </w:pPr>
      <w:r>
        <w:rPr>
          <w:sz w:val="21"/>
        </w:rPr>
        <w:t>Cartes : rapprochement facture ↔ débit par emitted_at, pas settled_at (1-2 jours d'écart)</w:t>
      </w:r>
    </w:p>
    <w:p>
      <w:pPr>
        <w:pStyle w:val="ListBullet"/>
        <w:spacing w:after="60"/>
      </w:pPr>
      <w:r>
        <w:rPr>
          <w:sz w:val="21"/>
        </w:rPr>
        <w:t>Plans annuels : cadences détectées sur 24-36 mois avant de qualifier un coût de « one-off »</w:t>
      </w:r>
    </w:p>
    <w:p>
      <w:pPr>
        <w:pStyle w:val="ListBullet"/>
        <w:spacing w:after="60"/>
      </w:pPr>
      <w:r>
        <w:rPr>
          <w:sz w:val="21"/>
        </w:rPr>
        <w:t>Tiers ambigu (revendeur, agence) → demandé une fois, jamais classé en silence</w:t>
      </w:r>
    </w:p>
    <w:p>
      <w:pPr>
        <w:pStyle w:val="ListBullet"/>
        <w:spacing w:after="60"/>
      </w:pPr>
      <w:r>
        <w:rPr>
          <w:sz w:val="21"/>
        </w:rPr>
        <w:t>Pas de MCP produit → mode dégradé annoncé : classification + total/mois + tendance, déjà utile. Pas de comptage mesuré → pas de €/user, dit clairement</w:t>
      </w:r>
    </w:p>
    <w:p>
      <w:r>
        <w:br w:type="page"/>
      </w:r>
    </w:p>
    <w:p>
      <w:pPr>
        <w:keepNext/>
        <w:spacing w:before="320" w:after="120"/>
      </w:pPr>
      <w:r>
        <w:rPr>
          <w:b/>
          <w:color w:val="4A30D9"/>
          <w:sz w:val="32"/>
        </w:rPr>
        <w:t>🏗 Schéma fonctionnel</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fr.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Schéma 2 — Acteurs et flux : lecture seule des deux côtés (Qonto + MCP produit)</w:t>
      </w:r>
    </w:p>
    <w:p>
      <w:r>
        <w:rPr>
          <w:b/>
          <w:i w:val="0"/>
          <w:sz w:val="21"/>
        </w:rPr>
        <w:t>🔒 100 % lecture, des deux côtés. Côté Qonto : aucun outil d'écriture appelé, jamais — rien à approuver, rien d'exécuté. Côté produit : execute_sql est bridé à des SELECT count unitaires en lecture seule, sur une table que l'utilisateur confirme avant exécution — jamais de DDL/DML, jamais de table devinée.</w:t>
      </w:r>
    </w:p>
    <w:p>
      <w:pPr>
        <w:keepNext/>
        <w:spacing w:before="320" w:after="120"/>
      </w:pPr>
      <w:r>
        <w:rPr>
          <w:b/>
          <w:color w:val="4A30D9"/>
          <w:sz w:val="32"/>
        </w:rPr>
        <w:t>🗂 Familles de fournisseurs reconnues (exemples, jamais exhaustif)</w:t>
      </w:r>
    </w:p>
    <w:tbl>
      <w:tblPr>
        <w:tblStyle w:val="TableGrid"/>
        <w:tblW w:type="auto" w:w="0"/>
        <w:tblLayout w:type="autofit"/>
        <w:tblLook w:firstColumn="1" w:firstRow="1" w:lastColumn="0" w:lastRow="0" w:noHBand="0" w:noVBand="1" w:val="04A0"/>
      </w:tblPr>
      <w:tblGrid>
        <w:gridCol w:w="4819"/>
        <w:gridCol w:w="4819"/>
      </w:tblGrid>
      <w:tr>
        <w:trPr>
          <w:cantSplit/>
        </w:trPr>
        <w:tc>
          <w:tcPr>
            <w:tcW w:type="dxa" w:w="2608"/>
            <w:shd w:val="clear" w:fill="6B4EFF"/>
          </w:tcPr>
          <w:p>
            <w:pPr>
              <w:keepNext/>
            </w:pPr>
            <w:r>
              <w:rPr>
                <w:b/>
                <w:color w:val="FFFFFF"/>
                <w:sz w:val="19"/>
              </w:rPr>
              <w:t>Famille</w:t>
            </w:r>
          </w:p>
        </w:tc>
        <w:tc>
          <w:tcPr>
            <w:tcW w:type="dxa" w:w="7030"/>
            <w:shd w:val="clear" w:fill="6B4EFF"/>
          </w:tcPr>
          <w:p>
            <w:pPr>
              <w:keepNext/>
            </w:pPr>
            <w:r>
              <w:rPr>
                <w:b/>
                <w:color w:val="FFFFFF"/>
                <w:sz w:val="19"/>
              </w:rPr>
              <w:t>Fournisseurs typiques</w:t>
            </w:r>
          </w:p>
        </w:tc>
      </w:tr>
      <w:tr>
        <w:trPr>
          <w:cantSplit/>
        </w:trPr>
        <w:tc>
          <w:tcPr>
            <w:tcW w:type="dxa" w:w="2608"/>
          </w:tcPr>
          <w:p>
            <w:pPr>
              <w:keepNext/>
            </w:pPr>
            <w:r>
              <w:rPr>
                <w:b/>
                <w:sz w:val="19"/>
              </w:rPr>
              <w:t>Cloud &amp; hosting</w:t>
            </w:r>
          </w:p>
        </w:tc>
        <w:tc>
          <w:tcPr>
            <w:tcW w:type="dxa" w:w="7030"/>
          </w:tcPr>
          <w:p>
            <w:pPr>
              <w:keepNext/>
            </w:pPr>
            <w:r>
              <w:rPr>
                <w:sz w:val="19"/>
              </w:rPr>
              <w:t>AWS, Google Cloud, Azure, Scaleway, OVHcloud, Hetzner, DigitalOcean, Fly.io, Railway, Render, Heroku</w:t>
            </w:r>
          </w:p>
        </w:tc>
      </w:tr>
      <w:tr>
        <w:trPr>
          <w:cantSplit/>
        </w:trPr>
        <w:tc>
          <w:tcPr>
            <w:tcW w:type="dxa" w:w="2608"/>
            <w:shd w:val="clear" w:fill="F1EDFF"/>
          </w:tcPr>
          <w:p>
            <w:pPr>
              <w:keepNext/>
            </w:pPr>
            <w:r>
              <w:rPr>
                <w:b/>
                <w:sz w:val="19"/>
              </w:rPr>
              <w:t>Frontend &amp; edge</w:t>
            </w:r>
          </w:p>
        </w:tc>
        <w:tc>
          <w:tcPr>
            <w:tcW w:type="dxa" w:w="7030"/>
            <w:shd w:val="clear" w:fill="F1EDFF"/>
          </w:tcPr>
          <w:p>
            <w:pPr>
              <w:keepNext/>
            </w:pPr>
            <w:r>
              <w:rPr>
                <w:sz w:val="19"/>
              </w:rPr>
              <w:t>Vercel, Netlify, Cloudflare</w:t>
            </w:r>
          </w:p>
        </w:tc>
      </w:tr>
      <w:tr>
        <w:trPr>
          <w:cantSplit/>
        </w:trPr>
        <w:tc>
          <w:tcPr>
            <w:tcW w:type="dxa" w:w="2608"/>
          </w:tcPr>
          <w:p>
            <w:pPr>
              <w:keepNext/>
            </w:pPr>
            <w:r>
              <w:rPr>
                <w:b/>
                <w:sz w:val="19"/>
              </w:rPr>
              <w:t>Data &amp; backend</w:t>
            </w:r>
          </w:p>
        </w:tc>
        <w:tc>
          <w:tcPr>
            <w:tcW w:type="dxa" w:w="7030"/>
          </w:tcPr>
          <w:p>
            <w:pPr>
              <w:keepNext/>
            </w:pPr>
            <w:r>
              <w:rPr>
                <w:sz w:val="19"/>
              </w:rPr>
              <w:t>Supabase, MongoDB Atlas, Neon, PlanetScale, Firebase, Upstash</w:t>
            </w:r>
          </w:p>
        </w:tc>
      </w:tr>
      <w:tr>
        <w:trPr>
          <w:cantSplit/>
        </w:trPr>
        <w:tc>
          <w:tcPr>
            <w:tcW w:type="dxa" w:w="2608"/>
            <w:shd w:val="clear" w:fill="F1EDFF"/>
          </w:tcPr>
          <w:p>
            <w:pPr>
              <w:keepNext/>
            </w:pPr>
            <w:r>
              <w:rPr>
                <w:b/>
                <w:sz w:val="19"/>
              </w:rPr>
              <w:t>API IA</w:t>
            </w:r>
          </w:p>
        </w:tc>
        <w:tc>
          <w:tcPr>
            <w:tcW w:type="dxa" w:w="7030"/>
            <w:shd w:val="clear" w:fill="F1EDFF"/>
          </w:tcPr>
          <w:p>
            <w:pPr>
              <w:keepNext/>
            </w:pPr>
            <w:r>
              <w:rPr>
                <w:sz w:val="19"/>
              </w:rPr>
              <w:t>OpenAI, Anthropic, Mistral, Replicate, ElevenLabs, fal.ai, Hugging Face</w:t>
            </w:r>
          </w:p>
        </w:tc>
      </w:tr>
      <w:tr>
        <w:trPr>
          <w:cantSplit/>
        </w:trPr>
        <w:tc>
          <w:tcPr>
            <w:tcW w:type="dxa" w:w="2608"/>
          </w:tcPr>
          <w:p>
            <w:pPr>
              <w:keepNext/>
            </w:pPr>
            <w:r>
              <w:rPr>
                <w:b/>
                <w:sz w:val="19"/>
              </w:rPr>
              <w:t>Observabilité</w:t>
            </w:r>
          </w:p>
        </w:tc>
        <w:tc>
          <w:tcPr>
            <w:tcW w:type="dxa" w:w="7030"/>
          </w:tcPr>
          <w:p>
            <w:pPr>
              <w:keepNext/>
            </w:pPr>
            <w:r>
              <w:rPr>
                <w:sz w:val="19"/>
              </w:rPr>
              <w:t>Sentry, Datadog, Better Stack, Grafana Cloud</w:t>
            </w:r>
          </w:p>
        </w:tc>
      </w:tr>
      <w:tr>
        <w:trPr>
          <w:cantSplit/>
        </w:trPr>
        <w:tc>
          <w:tcPr>
            <w:tcW w:type="dxa" w:w="2608"/>
            <w:shd w:val="clear" w:fill="F1EDFF"/>
          </w:tcPr>
          <w:p>
            <w:r>
              <w:rPr>
                <w:b/>
                <w:sz w:val="19"/>
              </w:rPr>
              <w:t>Dev tooling</w:t>
            </w:r>
          </w:p>
        </w:tc>
        <w:tc>
          <w:tcPr>
            <w:tcW w:type="dxa" w:w="7030"/>
            <w:shd w:val="clear" w:fill="F1EDFF"/>
          </w:tcPr>
          <w:p>
            <w:r>
              <w:rPr>
                <w:sz w:val="19"/>
              </w:rPr>
              <w:t>GitHub, GitLab, Docker, npm, JetBrains</w:t>
            </w:r>
          </w:p>
        </w:tc>
      </w:tr>
    </w:tbl>
    <w:p>
      <w:pPr>
        <w:spacing w:after="40"/>
      </w:pPr>
    </w:p>
    <w:p>
      <w:pPr>
        <w:keepNext/>
        <w:spacing w:before="320" w:after="120"/>
      </w:pPr>
      <w:r>
        <w:rPr>
          <w:b/>
          <w:color w:val="4A30D9"/>
          <w:sz w:val="32"/>
        </w:rPr>
        <w:t>📊 Ce que le rapport contient (exemple fictif — chiffres inventés)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Métrique</w:t>
            </w:r>
          </w:p>
        </w:tc>
        <w:tc>
          <w:tcPr>
            <w:tcW w:type="dxa" w:w="4195"/>
            <w:shd w:val="clear" w:fill="6B4EFF"/>
          </w:tcPr>
          <w:p>
            <w:pPr>
              <w:keepNext/>
            </w:pPr>
            <w:r>
              <w:rPr>
                <w:b/>
                <w:color w:val="FFFFFF"/>
                <w:sz w:val="19"/>
              </w:rPr>
              <w:t>Exemple (fictif)</w:t>
            </w:r>
          </w:p>
        </w:tc>
        <w:tc>
          <w:tcPr>
            <w:tcW w:type="dxa" w:w="2835"/>
            <w:shd w:val="clear" w:fill="6B4EFF"/>
          </w:tcPr>
          <w:p>
            <w:pPr>
              <w:keepNext/>
            </w:pPr>
            <w:r>
              <w:rPr>
                <w:b/>
                <w:color w:val="FFFFFF"/>
                <w:sz w:val="19"/>
              </w:rPr>
              <w:t>Condition</w:t>
            </w:r>
          </w:p>
        </w:tc>
      </w:tr>
      <w:tr>
        <w:trPr>
          <w:cantSplit/>
        </w:trPr>
        <w:tc>
          <w:tcPr>
            <w:tcW w:type="dxa" w:w="2608"/>
          </w:tcPr>
          <w:p>
            <w:pPr>
              <w:keepNext/>
            </w:pPr>
            <w:r>
              <w:rPr>
                <w:b/>
                <w:sz w:val="19"/>
              </w:rPr>
              <w:t>Coût infra / mois + tendance</w:t>
            </w:r>
          </w:p>
        </w:tc>
        <w:tc>
          <w:tcPr>
            <w:tcW w:type="dxa" w:w="4195"/>
          </w:tcPr>
          <w:p>
            <w:pPr>
              <w:keepNext/>
            </w:pPr>
            <w:r>
              <w:rPr>
                <w:sz w:val="19"/>
              </w:rPr>
              <w:t>412 €/mois, +18 % sur 12 mois</w:t>
            </w:r>
          </w:p>
        </w:tc>
        <w:tc>
          <w:tcPr>
            <w:tcW w:type="dxa" w:w="2835"/>
          </w:tcPr>
          <w:p>
            <w:pPr>
              <w:keepNext/>
            </w:pPr>
            <w:r>
              <w:rPr>
                <w:sz w:val="19"/>
              </w:rPr>
              <w:t>Toujours (Qonto seul suffit)</w:t>
            </w:r>
          </w:p>
        </w:tc>
      </w:tr>
      <w:tr>
        <w:trPr>
          <w:cantSplit/>
        </w:trPr>
        <w:tc>
          <w:tcPr>
            <w:tcW w:type="dxa" w:w="2608"/>
            <w:shd w:val="clear" w:fill="F1EDFF"/>
          </w:tcPr>
          <w:p>
            <w:pPr>
              <w:keepNext/>
            </w:pPr>
            <w:r>
              <w:rPr>
                <w:b/>
                <w:sz w:val="19"/>
              </w:rPr>
              <w:t>€/utilisateur</w:t>
            </w:r>
          </w:p>
        </w:tc>
        <w:tc>
          <w:tcPr>
            <w:tcW w:type="dxa" w:w="4195"/>
            <w:shd w:val="clear" w:fill="F1EDFF"/>
          </w:tcPr>
          <w:p>
            <w:pPr>
              <w:keepNext/>
            </w:pPr>
            <w:r>
              <w:rPr>
                <w:sz w:val="19"/>
              </w:rPr>
              <w:t>Supabase 180 €/mois ÷ 1 240 users = 0,15 €/user</w:t>
            </w:r>
          </w:p>
        </w:tc>
        <w:tc>
          <w:tcPr>
            <w:tcW w:type="dxa" w:w="2835"/>
            <w:shd w:val="clear" w:fill="F1EDFF"/>
          </w:tcPr>
          <w:p>
            <w:pPr>
              <w:keepNext/>
            </w:pPr>
            <w:r>
              <w:rPr>
                <w:sz w:val="19"/>
              </w:rPr>
              <w:t>Seulement si un vrai comptage a été mesuré</w:t>
            </w:r>
          </w:p>
        </w:tc>
      </w:tr>
      <w:tr>
        <w:trPr>
          <w:cantSplit/>
        </w:trPr>
        <w:tc>
          <w:tcPr>
            <w:tcW w:type="dxa" w:w="2608"/>
          </w:tcPr>
          <w:p>
            <w:pPr>
              <w:keepNext/>
            </w:pPr>
            <w:r>
              <w:rPr>
                <w:b/>
                <w:sz w:val="19"/>
              </w:rPr>
              <w:t>€/projet</w:t>
            </w:r>
          </w:p>
        </w:tc>
        <w:tc>
          <w:tcPr>
            <w:tcW w:type="dxa" w:w="4195"/>
          </w:tcPr>
          <w:p>
            <w:pPr>
              <w:keepNext/>
            </w:pPr>
            <w:r>
              <w:rPr>
                <w:sz w:val="19"/>
              </w:rPr>
              <w:t>Facture Vercel répartie au prorata des déploiements — règle affichée</w:t>
            </w:r>
          </w:p>
        </w:tc>
        <w:tc>
          <w:tcPr>
            <w:tcW w:type="dxa" w:w="2835"/>
          </w:tcPr>
          <w:p>
            <w:pPr>
              <w:keepNext/>
            </w:pPr>
            <w:r>
              <w:rPr>
                <w:sz w:val="19"/>
              </w:rPr>
              <w:t>MCP Vercel présent</w:t>
            </w:r>
          </w:p>
        </w:tc>
      </w:tr>
      <w:tr>
        <w:trPr>
          <w:cantSplit/>
        </w:trPr>
        <w:tc>
          <w:tcPr>
            <w:tcW w:type="dxa" w:w="2608"/>
            <w:shd w:val="clear" w:fill="F1EDFF"/>
          </w:tcPr>
          <w:p>
            <w:pPr>
              <w:keepNext/>
            </w:pPr>
            <w:r>
              <w:rPr>
                <w:b/>
                <w:sz w:val="19"/>
              </w:rPr>
              <w:t>Dérive de marge</w:t>
            </w:r>
          </w:p>
        </w:tc>
        <w:tc>
          <w:tcPr>
            <w:tcW w:type="dxa" w:w="4195"/>
            <w:shd w:val="clear" w:fill="F1EDFF"/>
          </w:tcPr>
          <w:p>
            <w:pPr>
              <w:keepNext/>
            </w:pPr>
            <w:r>
              <w:rPr>
                <w:sz w:val="19"/>
              </w:rPr>
              <w:t>Infra : 3,1 % → 4,8 % des encaissements en 6 mois</w:t>
            </w:r>
          </w:p>
        </w:tc>
        <w:tc>
          <w:tcPr>
            <w:tcW w:type="dxa" w:w="2835"/>
            <w:shd w:val="clear" w:fill="F1EDFF"/>
          </w:tcPr>
          <w:p>
            <w:pPr>
              <w:keepNext/>
            </w:pPr>
            <w:r>
              <w:rPr>
                <w:sz w:val="19"/>
              </w:rPr>
              <w:t>MRR déclaré, ou encaissements en proxy annoncé</w:t>
            </w:r>
          </w:p>
        </w:tc>
      </w:tr>
      <w:tr>
        <w:trPr>
          <w:cantSplit/>
        </w:trPr>
        <w:tc>
          <w:tcPr>
            <w:tcW w:type="dxa" w:w="2608"/>
          </w:tcPr>
          <w:p>
            <w:r>
              <w:rPr>
                <w:b/>
                <w:sz w:val="19"/>
              </w:rPr>
              <w:t>Saignées</w:t>
            </w:r>
          </w:p>
        </w:tc>
        <w:tc>
          <w:tcPr>
            <w:tcW w:type="dxa" w:w="4195"/>
          </w:tcPr>
          <w:p>
            <w:r>
              <w:rPr>
                <w:sz w:val="19"/>
              </w:rPr>
              <w:t>1 side-project = 80 % de la facture Vercel, 0 déploiement depuis 3 mois</w:t>
            </w:r>
          </w:p>
        </w:tc>
        <w:tc>
          <w:tcPr>
            <w:tcW w:type="dxa" w:w="2835"/>
          </w:tcPr>
          <w:p>
            <w:r>
              <w:rPr>
                <w:sz w:val="19"/>
              </w:rPr>
              <w:t>MCP produit présent</w:t>
            </w:r>
          </w:p>
        </w:tc>
      </w:tr>
    </w:tbl>
    <w:p>
      <w:pPr>
        <w:spacing w:after="40"/>
      </w:pPr>
    </w:p>
    <w:p>
      <w:pPr>
        <w:keepNext/>
        <w:spacing w:before="320" w:after="120"/>
      </w:pPr>
      <w:r>
        <w:rPr>
          <w:b/>
          <w:color w:val="4A30D9"/>
          <w:sz w:val="32"/>
        </w:rPr>
        <w:t>📤 Formats de sortie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Sortie</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Quand</w:t>
            </w:r>
          </w:p>
        </w:tc>
      </w:tr>
      <w:tr>
        <w:trPr>
          <w:cantSplit/>
        </w:trPr>
        <w:tc>
          <w:tcPr>
            <w:tcW w:type="dxa" w:w="2608"/>
          </w:tcPr>
          <w:p>
            <w:pPr>
              <w:keepNext/>
            </w:pPr>
            <w:r>
              <w:rPr>
                <w:b/>
                <w:sz w:val="19"/>
              </w:rPr>
              <w:t>Réponse dans la conversation</w:t>
            </w:r>
          </w:p>
        </w:tc>
        <w:tc>
          <w:tcPr>
            <w:tcW w:type="dxa" w:w="3969"/>
          </w:tcPr>
          <w:p>
            <w:pPr>
              <w:keepNext/>
            </w:pPr>
            <w:r>
              <w:rPr>
                <w:sz w:val="19"/>
              </w:rPr>
              <w:t>Tableaux markdown : P&amp;L infra (fournisseur × mois), unit economics, saignées</w:t>
            </w:r>
          </w:p>
        </w:tc>
        <w:tc>
          <w:tcPr>
            <w:tcW w:type="dxa" w:w="3061"/>
          </w:tcPr>
          <w:p>
            <w:pPr>
              <w:keepNext/>
            </w:pPr>
            <w:r>
              <w:rPr>
                <w:sz w:val="19"/>
              </w:rPr>
              <w:t>Toujours — c'est la base</w:t>
            </w:r>
          </w:p>
        </w:tc>
      </w:tr>
      <w:tr>
        <w:trPr>
          <w:cantSplit/>
        </w:trPr>
        <w:tc>
          <w:tcPr>
            <w:tcW w:type="dxa" w:w="2608"/>
            <w:shd w:val="clear" w:fill="F1EDFF"/>
          </w:tcPr>
          <w:p>
            <w:pPr>
              <w:keepNext/>
            </w:pPr>
            <w:r>
              <w:rPr>
                <w:b/>
                <w:sz w:val="19"/>
              </w:rPr>
              <w:t>Dashboard interactif</w:t>
            </w:r>
          </w:p>
        </w:tc>
        <w:tc>
          <w:tcPr>
            <w:tcW w:type="dxa" w:w="3969"/>
            <w:shd w:val="clear" w:fill="F1EDFF"/>
          </w:tcPr>
          <w:p>
            <w:pPr>
              <w:keepNext/>
            </w:pPr>
            <w:r>
              <w:rPr>
                <w:sz w:val="19"/>
              </w:rPr>
              <w:t>Fichier/artifact HTML : barres par famille, jauge €/user, courbe de dérive, spotlight saignées</w:t>
            </w:r>
          </w:p>
        </w:tc>
        <w:tc>
          <w:tcPr>
            <w:tcW w:type="dxa" w:w="3061"/>
            <w:shd w:val="clear" w:fill="F1EDFF"/>
          </w:tcPr>
          <w:p>
            <w:pPr>
              <w:keepNext/>
            </w:pPr>
            <w:r>
              <w:rPr>
                <w:sz w:val="19"/>
              </w:rPr>
              <w:t>Si l'hôte affiche les fichiers ; repli sur tableaux sinon</w:t>
            </w:r>
          </w:p>
        </w:tc>
      </w:tr>
      <w:tr>
        <w:trPr>
          <w:cantSplit/>
        </w:trPr>
        <w:tc>
          <w:tcPr>
            <w:tcW w:type="dxa" w:w="2608"/>
          </w:tcPr>
          <w:p>
            <w:r>
              <w:rPr>
                <w:b/>
                <w:sz w:val="19"/>
              </w:rPr>
              <w:t>Mode dégradé</w:t>
            </w:r>
          </w:p>
        </w:tc>
        <w:tc>
          <w:tcPr>
            <w:tcW w:type="dxa" w:w="3969"/>
          </w:tcPr>
          <w:p>
            <w:r>
              <w:rPr>
                <w:sz w:val="19"/>
              </w:rPr>
              <w:t>Mêmes tableaux sans €/user ni allocation par projet — annoncé</w:t>
            </w:r>
          </w:p>
        </w:tc>
        <w:tc>
          <w:tcPr>
            <w:tcW w:type="dxa" w:w="3061"/>
          </w:tcPr>
          <w:p>
            <w:r>
              <w:rPr>
                <w:sz w:val="19"/>
              </w:rPr>
              <w:t>Sans MCP Vercel/Supabase</w:t>
            </w:r>
          </w:p>
        </w:tc>
      </w:tr>
    </w:tbl>
    <w:p>
      <w:pPr>
        <w:spacing w:after="40"/>
      </w:pPr>
    </w:p>
    <w:p>
      <w:r>
        <w:br w:type="page"/>
      </w:r>
    </w:p>
    <w:p>
      <w:pPr>
        <w:keepNext/>
        <w:spacing w:before="320" w:after="120"/>
      </w:pPr>
      <w:r>
        <w:rPr>
          <w:b/>
          <w:color w:val="4A30D9"/>
          <w:sz w:val="32"/>
        </w:rPr>
        <w:t>🎬 Vidéo de démo</w:t>
      </w:r>
    </w:p>
    <w:p>
      <w:r>
        <w:rPr>
          <w:b w:val="0"/>
          <w:i w:val="0"/>
          <w:sz w:val="21"/>
        </w:rPr>
        <w:t>La démo ≤ 3 min jointe à la PR suit le storyboard : le MRR que tout le monde connaît → les débits infra isolés → la télémétrie produit branchée → la révélation (le vrai €/utilisateur, et le side-project qui saignait depuis des mois) → le dashboard final. (Script de tournage conservé en interne, hors dépôt.)</w:t>
      </w:r>
    </w:p>
    <w:p>
      <w:pPr>
        <w:keepNext/>
        <w:spacing w:before="320" w:after="120"/>
      </w:pPr>
      <w:r>
        <w:rPr>
          <w:b/>
          <w:color w:val="4A30D9"/>
          <w:sz w:val="32"/>
        </w:rPr>
        <w:t>💡 Améliorations possibles (dans les clous du hackathon)</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Idée</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MCP Stripe/paiements pour un MRR mesuré (plus de proxy)</w:t>
            </w:r>
          </w:p>
        </w:tc>
        <w:tc>
          <w:tcPr>
            <w:tcW w:type="dxa" w:w="1474"/>
          </w:tcPr>
          <w:p>
            <w:pPr>
              <w:keepNext/>
            </w:pPr>
            <w:r>
              <w:rPr>
                <w:sz w:val="19"/>
              </w:rPr>
              <w:t>Faible</w:t>
            </w:r>
          </w:p>
        </w:tc>
        <w:tc>
          <w:tcPr>
            <w:tcW w:type="dxa" w:w="3402"/>
          </w:tcPr>
          <w:p>
            <w:pPr>
              <w:keepNext/>
            </w:pPr>
            <w:r>
              <w:rPr>
                <w:sz w:val="19"/>
              </w:rPr>
              <w:t>Détection dynamique, même logique que Vercel/Supabase</w:t>
            </w:r>
          </w:p>
        </w:tc>
      </w:tr>
      <w:tr>
        <w:trPr>
          <w:cantSplit/>
        </w:trPr>
        <w:tc>
          <w:tcPr>
            <w:tcW w:type="dxa" w:w="4762"/>
            <w:shd w:val="clear" w:fill="F1EDFF"/>
          </w:tcPr>
          <w:p>
            <w:pPr>
              <w:keepNext/>
            </w:pPr>
            <w:r>
              <w:rPr>
                <w:b/>
                <w:sz w:val="19"/>
              </w:rPr>
              <w:t>Alerte mensuelle « ta marge brute a dérivé de +N points »</w:t>
            </w:r>
          </w:p>
        </w:tc>
        <w:tc>
          <w:tcPr>
            <w:tcW w:type="dxa" w:w="1474"/>
            <w:shd w:val="clear" w:fill="F1EDFF"/>
          </w:tcPr>
          <w:p>
            <w:pPr>
              <w:keepNext/>
            </w:pPr>
            <w:r>
              <w:rPr>
                <w:sz w:val="19"/>
              </w:rPr>
              <w:t>Moyen</w:t>
            </w:r>
          </w:p>
        </w:tc>
        <w:tc>
          <w:tcPr>
            <w:tcW w:type="dxa" w:w="3402"/>
            <w:shd w:val="clear" w:fill="F1EDFF"/>
          </w:tcPr>
          <w:p>
            <w:pPr>
              <w:keepNext/>
            </w:pPr>
            <w:r>
              <w:rPr>
                <w:sz w:val="19"/>
              </w:rPr>
              <w:t>Rituel du 1er du mois, comme qonto-tax-pilot</w:t>
            </w:r>
          </w:p>
        </w:tc>
      </w:tr>
      <w:tr>
        <w:trPr>
          <w:cantSplit/>
        </w:trPr>
        <w:tc>
          <w:tcPr>
            <w:tcW w:type="dxa" w:w="4762"/>
          </w:tcPr>
          <w:p>
            <w:pPr>
              <w:keepNext/>
            </w:pPr>
            <w:r>
              <w:rPr>
                <w:b/>
                <w:sz w:val="19"/>
              </w:rPr>
              <w:t>Benchmark interne : €/user vs il y a 12 mois</w:t>
            </w:r>
          </w:p>
        </w:tc>
        <w:tc>
          <w:tcPr>
            <w:tcW w:type="dxa" w:w="1474"/>
          </w:tcPr>
          <w:p>
            <w:pPr>
              <w:keepNext/>
            </w:pPr>
            <w:r>
              <w:rPr>
                <w:sz w:val="19"/>
              </w:rPr>
              <w:t>Faible</w:t>
            </w:r>
          </w:p>
        </w:tc>
        <w:tc>
          <w:tcPr>
            <w:tcW w:type="dxa" w:w="3402"/>
          </w:tcPr>
          <w:p>
            <w:pPr>
              <w:keepNext/>
            </w:pPr>
            <w:r>
              <w:rPr>
                <w:sz w:val="19"/>
              </w:rPr>
              <w:t>Réutilise l'historique déjà scanné</w:t>
            </w:r>
          </w:p>
        </w:tc>
      </w:tr>
      <w:tr>
        <w:trPr>
          <w:cantSplit/>
        </w:trPr>
        <w:tc>
          <w:tcPr>
            <w:tcW w:type="dxa" w:w="4762"/>
            <w:shd w:val="clear" w:fill="F1EDFF"/>
          </w:tcPr>
          <w:p>
            <w:pPr>
              <w:keepNext/>
            </w:pPr>
            <w:r>
              <w:rPr>
                <w:b/>
                <w:sz w:val="19"/>
              </w:rPr>
              <w:t>Rightsizing par fournisseur (pricing vérifié en ligne au moment T)</w:t>
            </w:r>
          </w:p>
        </w:tc>
        <w:tc>
          <w:tcPr>
            <w:tcW w:type="dxa" w:w="1474"/>
            <w:shd w:val="clear" w:fill="F1EDFF"/>
          </w:tcPr>
          <w:p>
            <w:pPr>
              <w:keepNext/>
            </w:pPr>
            <w:r>
              <w:rPr>
                <w:sz w:val="19"/>
              </w:rPr>
              <w:t>Moyen</w:t>
            </w:r>
          </w:p>
        </w:tc>
        <w:tc>
          <w:tcPr>
            <w:tcW w:type="dxa" w:w="3402"/>
            <w:shd w:val="clear" w:fill="F1EDFF"/>
          </w:tcPr>
          <w:p>
            <w:pPr>
              <w:keepNext/>
            </w:pPr>
            <w:r>
              <w:rPr>
                <w:sz w:val="19"/>
              </w:rPr>
              <w:t>Jamais depuis la mémoire du modèle</w:t>
            </w:r>
          </w:p>
        </w:tc>
      </w:tr>
      <w:tr>
        <w:trPr>
          <w:cantSplit/>
        </w:trPr>
        <w:tc>
          <w:tcPr>
            <w:tcW w:type="dxa" w:w="4762"/>
          </w:tcPr>
          <w:p>
            <w:r>
              <w:rPr>
                <w:b/>
                <w:sz w:val="19"/>
              </w:rPr>
              <w:t>Croisement avec qonto-subscription-audit</w:t>
            </w:r>
          </w:p>
        </w:tc>
        <w:tc>
          <w:tcPr>
            <w:tcW w:type="dxa" w:w="1474"/>
          </w:tcPr>
          <w:p>
            <w:r>
              <w:rPr>
                <w:sz w:val="19"/>
              </w:rPr>
              <w:t>Faible</w:t>
            </w:r>
          </w:p>
        </w:tc>
        <w:tc>
          <w:tcPr>
            <w:tcW w:type="dxa" w:w="3402"/>
          </w:tcPr>
          <w:p>
            <w:r>
              <w:rPr>
                <w:sz w:val="19"/>
              </w:rPr>
              <w:t>Les deux skills partagent la détection de récurrences</w:t>
            </w:r>
          </w:p>
        </w:tc>
      </w:tr>
    </w:tbl>
    <w:p>
      <w:pPr>
        <w:spacing w:after="40"/>
      </w:pPr>
    </w:p>
    <w:p>
      <w:pPr>
        <w:keepNext/>
        <w:spacing w:before="320" w:after="120"/>
      </w:pPr>
      <w:r>
        <w:rPr>
          <w:b/>
          <w:color w:val="4A30D9"/>
          <w:sz w:val="32"/>
        </w:rPr>
        <w:t>🛡 Garde-fous</w:t>
      </w:r>
    </w:p>
    <w:p>
      <w:pPr>
        <w:pStyle w:val="ListBullet"/>
        <w:spacing w:after="60"/>
      </w:pPr>
      <w:r>
        <w:rPr>
          <w:sz w:val="21"/>
        </w:rPr>
        <w:t>Jamais de métrique produit inventée : pas de comptage mesuré → pas de €/utilisateur, dit clairement. Les exemples des docs sont fictifs et annoncés comme tels</w:t>
      </w:r>
    </w:p>
    <w:p>
      <w:pPr>
        <w:pStyle w:val="ListBullet"/>
        <w:spacing w:after="60"/>
      </w:pPr>
      <w:r>
        <w:rPr>
          <w:sz w:val="21"/>
        </w:rPr>
        <w:t>Allocation = choix éditorial affiché : tout prorata de coût partagé est annoncé sur la ligne, jamais silencieux</w:t>
      </w:r>
    </w:p>
    <w:p>
      <w:pPr>
        <w:pStyle w:val="ListBullet"/>
        <w:spacing w:after="60"/>
      </w:pPr>
      <w:r>
        <w:rPr>
          <w:sz w:val="21"/>
        </w:rPr>
        <w:t>SQL en lecture seule : execute_sql limité à des SELECT count unitaires, sur une table confirmée par l'utilisateur</w:t>
      </w:r>
    </w:p>
    <w:p>
      <w:pPr>
        <w:pStyle w:val="ListBullet"/>
        <w:spacing w:after="60"/>
      </w:pPr>
      <w:r>
        <w:rPr>
          <w:sz w:val="21"/>
        </w:rPr>
        <w:t>Pricing fournisseur jamais affirmé de mémoire — les chiffres du compte, oui ; « mauvais plan », non</w:t>
      </w:r>
    </w:p>
    <w:p>
      <w:pPr>
        <w:pStyle w:val="ListBullet"/>
        <w:spacing w:after="60"/>
      </w:pPr>
      <w:r>
        <w:rPr>
          <w:sz w:val="21"/>
        </w:rPr>
        <w:t>IBAN masqués (4 derniers chiffres) · pagination ≤ 50 partout · dégradation honnête</w:t>
      </w:r>
    </w:p>
    <w:p>
      <w:pPr>
        <w:spacing w:before="360"/>
        <w:jc w:val="center"/>
      </w:pPr>
      <w:r>
        <w:rPr>
          <w:color w:val="5A5670"/>
          <w:sz w:val="17"/>
        </w:rPr>
        <w:t>qonto-infra-margin · Documentation FR (pilotage) · Hackathon Qonto × Anthropic MCP · juillet 2026 · Livrable PR : SKILL.md · Version jury : doc-qonto-infra-margin.en.docx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