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qonto-rebill</w:t>
      </w:r>
    </w:p>
    <w:p>
      <w:pPr>
        <w:jc w:val="center"/>
      </w:pPr>
      <w:r>
        <w:rPr>
          <w:b/>
          <w:color w:val="1D1B29"/>
          <w:sz w:val="26"/>
        </w:rPr>
        <w:t>Les frais avancés pour tes clients, littéralement récupérés — la refacturation ligne à ligne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100 % Qonto pur  ·  1 écriture = un brouillon  ·  Justificatifs inventoriés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Freelances et agences avancent des frais pour leurs clients — plugins, banques d'images, hébergement, déplacements, repas de mission — et oublient d'en refacturer la moitié. Le skill va rechercher cet argent :</w:t>
      </w:r>
    </w:p>
    <w:p>
      <w:pPr>
        <w:pStyle w:val="ListBullet"/>
        <w:spacing w:after="60"/>
      </w:pPr>
      <w:r>
        <w:rPr>
          <w:sz w:val="21"/>
        </w:rPr>
        <w:t>1. Détection des frais attribuables à un client — labels Qonto « client », équipes, ou attribution assistée par l'historique, transaction par transaction (jamais d'attribution silencieuse)</w:t>
      </w:r>
    </w:p>
    <w:p>
      <w:pPr>
        <w:pStyle w:val="ListBullet"/>
        <w:spacing w:after="60"/>
      </w:pPr>
      <w:r>
        <w:rPr>
          <w:sz w:val="21"/>
        </w:rPr>
        <w:t>2. Regroupement par client et par période — avec l'inventaire des justificatifs déjà attachés aux transactions (les manques sont signalés)</w:t>
      </w:r>
    </w:p>
    <w:p>
      <w:pPr>
        <w:pStyle w:val="ListBullet"/>
        <w:spacing w:after="60"/>
      </w:pPr>
      <w:r>
        <w:rPr>
          <w:sz w:val="21"/>
        </w:rPr>
        <w:t>3. Le point fiscal expliqué, jamais tranché — débours (hors TVA, au nom du client) vs frais refacturés (TTC, TVA de la prestation principale) : le skill compare et demande</w:t>
      </w:r>
    </w:p>
    <w:p>
      <w:pPr>
        <w:pStyle w:val="ListBullet"/>
        <w:spacing w:after="60"/>
      </w:pPr>
      <w:r>
        <w:rPr>
          <w:sz w:val="21"/>
        </w:rPr>
        <w:t>4. La facture de refacturation ligne à ligne — create_client_invoice en brouillon, majoration optionnelle 5-10 %, envoi uniquement après confirmation explicite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Mécanique universelle (détecter → regrouper → facturer). Le régime débours est français (art. 267 II-2° CGI) : hors France, TVA locale renvoyée à l'expert-comptable — jamais de règle étrangère inventée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Labels « client »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Labels Qonto nommés comme les clients (ou équipes par mission). Sans labels : attribution interactive, transaction par transaction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Clients dans la facturation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list_clients — la facture a besoin d'un client existant ; sinon le skill explique la création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Justificatifs attachés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Inventoriés automatiquement ; pour les manques : qonto-receipt-hunter avant de refacturer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 écriture = un brouillon)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Aucun label client ? → attribution interactive : candidats présélectionnés (tiers déjà attribués, dépenses typées mission : SaaS, images, hébergement, transport, repas), demandés transaction par transaction — puis proposition de labelliser pour que le trimestre suivant soit automatique</w:t>
      </w:r>
    </w:p>
    <w:p>
      <w:pPr>
        <w:pStyle w:val="ListBullet"/>
        <w:spacing w:after="60"/>
      </w:pPr>
      <w:r>
        <w:rPr>
          <w:sz w:val="21"/>
        </w:rPr>
        <w:t>Labels et clients rapprochés : normalisation casse/accents — le label « acme studio » = le client « ACME Studio »</w:t>
      </w:r>
    </w:p>
    <w:p>
      <w:pPr>
        <w:pStyle w:val="ListBullet"/>
        <w:spacing w:after="60"/>
      </w:pPr>
      <w:r>
        <w:rPr>
          <w:sz w:val="21"/>
        </w:rPr>
        <w:t>Frais carte à cheval sur deux périodes : regroupés par emitted_at, pas settled_at (règlement 1-2 jours plus tard)</w:t>
      </w:r>
    </w:p>
    <w:p>
      <w:pPr>
        <w:pStyle w:val="ListBullet"/>
        <w:spacing w:after="60"/>
      </w:pPr>
      <w:r>
        <w:rPr>
          <w:sz w:val="21"/>
        </w:rPr>
        <w:t>Justificatif manquant sur une ligne → signalé, renvoi vers qonto-receipt-hunter avant l'envoi</w:t>
      </w:r>
    </w:p>
    <w:p>
      <w:pPr>
        <w:pStyle w:val="ListBullet"/>
        <w:spacing w:after="60"/>
      </w:pPr>
      <w:r>
        <w:rPr>
          <w:sz w:val="21"/>
        </w:rPr>
        <w:t>Compte vide, période sans frais, client absent de la facturation, pays ≠ FR : le skill dit ce qu'il peut et ne peut pas faire</w:t>
      </w:r>
    </w:p>
    <w:p>
      <w:pPr>
        <w:pStyle w:val="ListBullet"/>
        <w:spacing w:after="60"/>
      </w:pPr>
      <w:r>
        <w:rPr>
          <w:sz w:val="21"/>
        </w:rPr>
        <w:t>Pagination ≤ 50 partout · get_organization toujours en premier (bank_account_id exigé par list_transactions)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sans risque (plein), écriture = brouillon sous confirmation (pointillé)</w:t>
      </w:r>
    </w:p>
    <w:p>
      <w:r>
        <w:rPr>
          <w:b/>
          <w:i w:val="0"/>
          <w:sz w:val="21"/>
        </w:rPr>
        <w:t>🔒 Une seule écriture, et c'est un brouillon : la lecture est sans risque ; l'écriture (create_client_invoice) ne produit qu'un brouillon dans Qonto. L'envoi au client exige la confirmation explicite dans la conversation. Les factures MCP étant réelles, les répétitions se font sur client fictif puis delete_client_invoice.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⚖️ Débours vs frais refacturés (le tableau que le skill affiche)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385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Débours (art. 267 II-2° CGI)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Frais refacturés (classique)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/>
                <w:sz w:val="19"/>
              </w:rPr>
              <w:t>Principe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Dépense engagée au nom et pour le compte du client (mandat)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Dépense engagée en son nom propre, refacturée comme élément du prix</w:t>
            </w:r>
          </w:p>
        </w:tc>
      </w:tr>
      <w:tr>
        <w:trPr>
          <w:cantSplit/>
        </w:trPr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Marge</w:t>
            </w:r>
          </w:p>
        </w:tc>
        <w:tc>
          <w:tcPr>
            <w:tcW w:type="dxa" w:w="3855"/>
            <w:shd w:val="clear" w:fill="F1EDFF"/>
          </w:tcPr>
          <w:p>
            <w:pPr>
              <w:keepNext/>
            </w:pPr>
            <w:r>
              <w:rPr>
                <w:sz w:val="19"/>
              </w:rPr>
              <w:t>Interdite — remboursement à l'euro l'euro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Autorisée (frais de gestion 5-10 %…)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/>
                <w:sz w:val="19"/>
              </w:rPr>
              <w:t>TVA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Hors champ : pas de TVA sur la ligne, TVA de l'achat non déductible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TTC, au taux de la prestation principale (souvent 20 %) — même si l'achat était à 10 % ou sans TVA</w:t>
            </w:r>
          </w:p>
        </w:tc>
      </w:tr>
      <w:tr>
        <w:trPr>
          <w:cantSplit/>
        </w:trPr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Justificatif</w:t>
            </w:r>
          </w:p>
        </w:tc>
        <w:tc>
          <w:tcPr>
            <w:tcW w:type="dxa" w:w="3855"/>
            <w:shd w:val="clear" w:fill="F1EDFF"/>
          </w:tcPr>
          <w:p>
            <w:pPr>
              <w:keepNext/>
            </w:pPr>
            <w:r>
              <w:rPr>
                <w:sz w:val="19"/>
              </w:rPr>
              <w:t>Facture d'origine au nom du client, à lui remettre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Facture d'origine au nom du prestataire, conservée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/>
                <w:sz w:val="19"/>
              </w:rPr>
              <w:t>Comptabilité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Compte de tiers (pas du chiffre d'affaires)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Produit (chiffre d'affaires)</w:t>
            </w:r>
          </w:p>
        </w:tc>
      </w:tr>
      <w:tr>
        <w:trPr>
          <w:cantSplit/>
        </w:trPr>
        <w:tc>
          <w:tcPr>
            <w:tcW w:type="dxa" w:w="1701"/>
            <w:shd w:val="clear" w:fill="F1EDFF"/>
          </w:tcPr>
          <w:p>
            <w:r>
              <w:rPr>
                <w:b/>
                <w:sz w:val="19"/>
              </w:rPr>
              <w:t>Pays</w:t>
            </w:r>
          </w:p>
        </w:tc>
        <w:tc>
          <w:tcPr>
            <w:tcW w:type="dxa" w:w="3855"/>
            <w:shd w:val="clear" w:fill="F1EDFF"/>
          </w:tcPr>
          <w:p>
            <w:r>
              <w:rPr>
                <w:sz w:val="19"/>
              </w:rPr>
              <w:t>Régime français</w:t>
            </w:r>
          </w:p>
        </w:tc>
        <w:tc>
          <w:tcPr>
            <w:tcW w:type="dxa" w:w="4082"/>
            <w:shd w:val="clear" w:fill="F1EDFF"/>
          </w:tcPr>
          <w:p>
            <w:r>
              <w:rPr>
                <w:sz w:val="19"/>
              </w:rPr>
              <w:t>Mécanique universelle ; hors France → expert-comptable local</w:t>
            </w:r>
          </w:p>
        </w:tc>
      </w:tr>
    </w:tbl>
    <w:p>
      <w:pPr>
        <w:spacing w:after="40"/>
      </w:pPr>
    </w:p>
    <w:p>
      <w:r>
        <w:rPr>
          <w:b/>
          <w:i w:val="0"/>
          <w:sz w:val="21"/>
        </w:rPr>
        <w:t>Le skill explique et demande — il ne décide jamais seul (ligne à ligne si les régimes sont mixtes), et chaque rapport recommande la validation de l'expert-comptable.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frais par client (justificatif ✅/⚠️), facture ligne à ligne, total récupéré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Brouillon de facture Qonto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create_client_invoice en brouillon, visible dans Facturation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Après l'accord sur le régime ; envoi après confirmation explicite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Pack justificatifs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Liens de téléchargement (get_attachment, durée limitée) à joindre à l'envoi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À chaque facture préparée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Récap HTML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Cartes par client, jauge justificatifs, montants récupérés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Si l'hôte affiche les fichiers ; repli sur les tableaux sinon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(les frais avancés qu'on oublie) → détection par labels → le choix fiscal expliqué → la facture brouillon ligne à ligne, justificatifs inventoriés → envoi confirmé et récap. Les chiffres d'exemple des docs sont inventés.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Apprentissage des tiers « refacturables » par client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Les attributions acceptées pré-remplissent le trimestre suivant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Devis d'accord préalable (create_quote) pour les gros frais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client valide la dépense AVANT l'avance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Rituel mensuel/trimestriel planifié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« Frais à refacturer ce mois-ci ? » en automatique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Chaînage qonto-receipt-hunter → qonto-rebill → qonto-invoice-chaser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Justificatifs complets → facture → relance de paiement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Frais en devises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Conversion au taux de la transaction, mention sur la ligne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Les factures créées via MCP sont RÉELLES : brouillon jusqu'à confirmation explicite, jamais présenté comme envoyé, répétitions sur client fictif + delete_client_invoice</w:t>
      </w:r>
    </w:p>
    <w:p>
      <w:pPr>
        <w:pStyle w:val="ListBullet"/>
        <w:spacing w:after="60"/>
      </w:pPr>
      <w:r>
        <w:rPr>
          <w:sz w:val="21"/>
        </w:rPr>
        <w:t>Jamais d'attribution silencieuse : chaque frais douteux est demandé ; rien d'inventé — ni montant, ni justificatif, ni client</w:t>
      </w:r>
    </w:p>
    <w:p>
      <w:pPr>
        <w:pStyle w:val="ListBullet"/>
        <w:spacing w:after="60"/>
      </w:pPr>
      <w:r>
        <w:rPr>
          <w:sz w:val="21"/>
        </w:rPr>
        <w:t>Le choix débours/refacturation appartient à l'utilisateur (avec son expert-comptable) — le skill explique et demande</w:t>
      </w:r>
    </w:p>
    <w:p>
      <w:pPr>
        <w:pStyle w:val="ListBullet"/>
        <w:spacing w:after="60"/>
      </w:pPr>
      <w:r>
        <w:rPr>
          <w:sz w:val="21"/>
        </w:rPr>
        <w:t>Dégradation honnête (pas de labels, compte vide, pays ≠ FR) · IBAN masqués (4 derniers chiffres) · pagination ≤ 50</w:t>
      </w:r>
    </w:p>
    <w:p>
      <w:pPr>
        <w:spacing w:before="360"/>
        <w:jc w:val="center"/>
      </w:pPr>
      <w:r>
        <w:rPr>
          <w:color w:val="5A5670"/>
          <w:sz w:val="17"/>
        </w:rPr>
        <w:t>qonto-rebill · Documentation FR (pilotage) · Hackathon Qonto × Anthropic MCP · juillet 2026 · Livrable PR : SKILL.md · Version jury : doc-qonto-rebill.en.docx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