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qonto-grant-scout</w:t>
      </w:r>
    </w:p>
    <w:p>
      <w:pPr>
        <w:jc w:val="center"/>
      </w:pPr>
      <w:r>
        <w:rPr>
          <w:b/>
          <w:color w:val="1D1B29"/>
          <w:sz w:val="26"/>
        </w:rPr>
        <w:t>Le chasseur de subventions — ton compte sait ce que tu investis, les bases publiques savent qui est aidé pour ça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#15  ·  Lecture seule — 0 écriture  ·  Sources datées (data.gouv.fr)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La France compte des centaines de dispositifs d'aides aux entreprises — OPCO, ADEME, Bpifrance, France Num, régions… — et la plupart des TPE n'en touchent aucun, faute de temps pour chercher. Or le compte raconte déjà ce que l'entreprise investit. Le skill fait les présentations :</w:t>
      </w:r>
    </w:p>
    <w:p>
      <w:pPr>
        <w:pStyle w:val="ListBullet"/>
        <w:spacing w:after="60"/>
      </w:pPr>
      <w:r>
        <w:rPr>
          <w:sz w:val="21"/>
        </w:rPr>
        <w:t>1. Profil réel de l'entreprise — secteur (NAF si présent, sinon inféré des flux), région, taille, ancienneté : tout vient du compte, zéro formulaire</w:t>
      </w:r>
    </w:p>
    <w:p>
      <w:pPr>
        <w:pStyle w:val="ListBullet"/>
        <w:spacing w:after="60"/>
      </w:pPr>
      <w:r>
        <w:rPr>
          <w:sz w:val="21"/>
        </w:rPr>
        <w:t>2. Structure de dépenses réelle — 12-24 mois de flux classés : formation, matériel, numérique, embauche, export, énergie — chaque poste chiffré en €/an avec ses preuves</w:t>
      </w:r>
    </w:p>
    <w:p>
      <w:pPr>
        <w:pStyle w:val="ListBullet"/>
        <w:spacing w:after="60"/>
      </w:pPr>
      <w:r>
        <w:rPr>
          <w:sz w:val="21"/>
        </w:rPr>
        <w:t>3. Croisement avec les référentiels publics via le MCP Datagouv (optionnel, détecté dynamiquement) — la date de mise à jour de chaque dataset est vérifiée et affichée</w:t>
      </w:r>
    </w:p>
    <w:p>
      <w:pPr>
        <w:pStyle w:val="ListBullet"/>
        <w:spacing w:after="60"/>
      </w:pPr>
      <w:r>
        <w:rPr>
          <w:sz w:val="21"/>
        </w:rPr>
        <w:t>4. Shortlist honnête — chaque piste : critères à confirmer, source datée, prochaine étape concrète. Jamais « tu es éligible » — toujours « piste à vérifier »</w:t>
      </w:r>
    </w:p>
    <w:p>
      <w:r>
        <w:rPr>
          <w:b w:val="0"/>
          <w:i w:val="0"/>
          <w:sz w:val="21"/>
        </w:rPr>
        <w:t>Exemple type : « tu dépenses 800 €/mois en formation → ces dispositifs OPCO/FNE existent, voilà le lien et quoi demander » · « tu investis en matériel — cette aide régionale couvre une partie, critères à vérifier ici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Croisement dispositifs : France uniquement (aides nationales/régionales). Autres pays Qonto (DE, ES, IT…) : profil de dépenses seul, familles génériques, jamais de dispositif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MCP Datagouv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Ouvre la recherche dans les référentiels d'aides. Absent : le skill le dit et livre profil + familles d'aides + portails officiels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Historique ≥ 12 mois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En dessous, signaux de dépenses fragiles — annoncé (tags 🟡)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Labels Qonto tenus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Améliorent le classement des dépenses (list_labels) ; sinon classement par contreparties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(lecture seule, 0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Honnêteté structurelle (le cœur de la crédibilité)</w:t>
      </w:r>
    </w:p>
    <w:p>
      <w:pPr>
        <w:pStyle w:val="ListBullet"/>
        <w:spacing w:after="60"/>
      </w:pPr>
      <w:r>
        <w:rPr>
          <w:sz w:val="21"/>
        </w:rPr>
        <w:t>Chaque piste porte sa source ET sa date : les référentiels d'aides sur data.gouv.fr sont hétérogènes et parfois datés — get_dataset_info vérifie la fraîcheur, un dataset &gt; ~18 mois dégrade le tag de la piste</w:t>
      </w:r>
    </w:p>
    <w:p>
      <w:pPr>
        <w:pStyle w:val="ListBullet"/>
        <w:spacing w:after="60"/>
      </w:pPr>
      <w:r>
        <w:rPr>
          <w:sz w:val="21"/>
        </w:rPr>
        <w:t>Jamais « tu es éligible » : les dispositifs ouvrent, ferment, changent de critères — chaque piste est « à vérifier », avec les critères exposés par le dataset et l'organisme à contacter</w:t>
      </w:r>
    </w:p>
    <w:p>
      <w:pPr>
        <w:pStyle w:val="ListBullet"/>
        <w:spacing w:after="60"/>
      </w:pPr>
      <w:r>
        <w:rPr>
          <w:sz w:val="21"/>
        </w:rPr>
        <w:t>Ressource non interrogeable (PDF, CSV cassé) → la piste devient un lien sourcé vers la page du dataset, annoncé comme tel</w:t>
      </w:r>
    </w:p>
    <w:p>
      <w:pPr>
        <w:pStyle w:val="ListBullet"/>
        <w:spacing w:after="60"/>
      </w:pPr>
      <w:r>
        <w:rPr>
          <w:sz w:val="21"/>
        </w:rPr>
        <w:t>MCP Datagouv absent ou en erreur → profil de dépenses + familles d'aides génériques + les bons portails (aides-entreprises.fr, bpifrance.fr, france-num.gouv.fr, la région)</w:t>
      </w:r>
    </w:p>
    <w:p>
      <w:pPr>
        <w:pStyle w:val="ListBullet"/>
        <w:spacing w:after="60"/>
      </w:pPr>
      <w:r>
        <w:rPr>
          <w:sz w:val="21"/>
        </w:rPr>
        <w:t>Secteur absent de get_organization → inféré des flux, confiance abaissée, corrigeable par l'utilisateur</w:t>
      </w:r>
    </w:p>
    <w:p>
      <w:pPr>
        <w:pStyle w:val="ListBullet"/>
        <w:spacing w:after="60"/>
      </w:pPr>
      <w:r>
        <w:rPr>
          <w:sz w:val="21"/>
        </w:rPr>
        <w:t>list_cash_flow_categories → 403 sur le connecteur claude.ai : repli sur list_labels · cartes rapprochées par emitted_at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seule côté Qonto, mots-clés génériques seuls côté Datagouv</w:t>
      </w:r>
    </w:p>
    <w:p>
      <w:r>
        <w:rPr>
          <w:b/>
          <w:i w:val="0"/>
          <w:sz w:val="21"/>
        </w:rPr>
        <w:t>🔒 Zéro écriture, et les données bancaires restent chez Qonto : le skill ne crée ni virement, ni facture, ni dossier. Seuls des mots-clés génériques (secteur, région, famille d'aide) partent vers Datagouv — jamais un montant, un nom de contrepartie ou un IBAN.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🗂 Dépenses détectées → familles d'aides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Dépense vue dans les flux</w:t>
            </w:r>
          </w:p>
        </w:tc>
        <w:tc>
          <w:tcPr>
            <w:tcW w:type="dxa" w:w="204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Famille d'aides</w:t>
            </w:r>
          </w:p>
        </w:tc>
        <w:tc>
          <w:tcPr>
            <w:tcW w:type="dxa" w:w="272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Exemples (à vérifier à la source)</w:t>
            </w:r>
          </w:p>
        </w:tc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Prochaine étape type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Formation (organismes, e-learning, certifs)</w:t>
            </w:r>
          </w:p>
        </w:tc>
        <w:tc>
          <w:tcPr>
            <w:tcW w:type="dxa" w:w="2041"/>
          </w:tcPr>
          <w:p>
            <w:pPr>
              <w:keepNext/>
            </w:pPr>
            <w:r>
              <w:rPr>
                <w:sz w:val="19"/>
              </w:rPr>
              <w:t>Financement de la formation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19"/>
              </w:rPr>
              <w:t>Prise en charge OPCO, FNE-Formation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Demander à son OPCO la prise en charge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Matériel / équipement</w:t>
            </w:r>
          </w:p>
        </w:tc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sz w:val="19"/>
              </w:rPr>
              <w:t>Aides régionales à l'investissement</w:t>
            </w:r>
          </w:p>
        </w:tc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sz w:val="19"/>
              </w:rPr>
              <w:t>Dispositifs des conseils régionaux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Vérifier le guichet éco de sa région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Numérique (logiciels, SaaS, site)</w:t>
            </w:r>
          </w:p>
        </w:tc>
        <w:tc>
          <w:tcPr>
            <w:tcW w:type="dxa" w:w="2041"/>
          </w:tcPr>
          <w:p>
            <w:pPr>
              <w:keepNext/>
            </w:pPr>
            <w:r>
              <w:rPr>
                <w:sz w:val="19"/>
              </w:rPr>
              <w:t>Transformation numérique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19"/>
              </w:rPr>
              <w:t>France Num, chèques numériques régionaux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Passer par un activateur France Num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Dépenses R&amp;D-like (prototypage, sous-traitance technique)</w:t>
            </w:r>
          </w:p>
        </w:tc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sz w:val="19"/>
              </w:rPr>
              <w:t>Fiscalité incitative</w:t>
            </w:r>
          </w:p>
        </w:tc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sz w:val="19"/>
              </w:rPr>
              <w:t>CIR / CII, statut JEI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À instruire avec l'expert-comptable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Embauche / alternance</w:t>
            </w:r>
          </w:p>
        </w:tc>
        <w:tc>
          <w:tcPr>
            <w:tcW w:type="dxa" w:w="2041"/>
          </w:tcPr>
          <w:p>
            <w:pPr>
              <w:keepNext/>
            </w:pPr>
            <w:r>
              <w:rPr>
                <w:sz w:val="19"/>
              </w:rPr>
              <w:t>Aides à l'embauche</w:t>
            </w:r>
          </w:p>
        </w:tc>
        <w:tc>
          <w:tcPr>
            <w:tcW w:type="dxa" w:w="2721"/>
          </w:tcPr>
          <w:p>
            <w:pPr>
              <w:keepNext/>
            </w:pPr>
            <w:r>
              <w:rPr>
                <w:sz w:val="19"/>
              </w:rPr>
              <w:t>Aides à l'alternance, dispositifs France Travail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sz w:val="19"/>
              </w:rPr>
              <w:t>Simuler sur les portails officiels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Énergie / véhicules / travaux</w:t>
            </w:r>
          </w:p>
        </w:tc>
        <w:tc>
          <w:tcPr>
            <w:tcW w:type="dxa" w:w="2041"/>
            <w:shd w:val="clear" w:fill="F1EDFF"/>
          </w:tcPr>
          <w:p>
            <w:pPr>
              <w:keepNext/>
            </w:pPr>
            <w:r>
              <w:rPr>
                <w:sz w:val="19"/>
              </w:rPr>
              <w:t>Transition écologique</w:t>
            </w:r>
          </w:p>
        </w:tc>
        <w:tc>
          <w:tcPr>
            <w:tcW w:type="dxa" w:w="2721"/>
            <w:shd w:val="clear" w:fill="F1EDFF"/>
          </w:tcPr>
          <w:p>
            <w:pPr>
              <w:keepNext/>
            </w:pPr>
            <w:r>
              <w:rPr>
                <w:sz w:val="19"/>
              </w:rPr>
              <w:t>ADEME (Tremplin PME), CEE</w:t>
            </w:r>
          </w:p>
        </w:tc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Déposer sur le portail ADEME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Export / clients étrangers</w:t>
            </w:r>
          </w:p>
        </w:tc>
        <w:tc>
          <w:tcPr>
            <w:tcW w:type="dxa" w:w="2041"/>
          </w:tcPr>
          <w:p>
            <w:r>
              <w:rPr>
                <w:sz w:val="19"/>
              </w:rPr>
              <w:t>International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Bpifrance Assurance Prospection, Team France Export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Contacter le conseiller export régional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Tableaux markdown : profil + signaux, shortlist sourcée et datée, limites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26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Grant radar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signaux × familles d'aides, pistes aux intersections, tags 🟢🟡🔵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b/>
                <w:sz w:val="19"/>
              </w:rPr>
              <w:t>Fiche par piste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  <w:t>Bloc texte prêt à envoyer (OPCO, comptable, guichet région) : signal, dispositif, critères, source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Sur demande, par piste retenue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(des aides que personne ne va chercher) → le profil qui sort tout seul des flux → la recherche Datagouv sourcée et datée → le croisement (9 600 €/an de formation détectés → le dispositif exact, le lien, quoi demander à l'OPCO) → l'honnêteté par design.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Veille trimestrielle : re-croiser et n'alerter que sur les nouvelles pistes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Réutilise le profil déjà construit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Enrichissement Aides-territoires (API dédiée)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Source souvent plus fraîche — même discipline de datation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Courriel type pré-rempli vers l'OPCO/le guichet avec les chiffres du compte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Toujours zéro écriture — c'est l'utilisateur qui envoie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Modules pays (DE : KfW · ES : ENISA · IT : Invitalia…)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Élevé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Qonto est paneuropéen ; v1 = France + détection du pays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Zéro écriture ; seuls des mots-clés génériques partent vers Datagouv — jamais de montants, de noms ni d'IBAN</w:t>
      </w:r>
    </w:p>
    <w:p>
      <w:pPr>
        <w:pStyle w:val="ListBullet"/>
        <w:spacing w:after="60"/>
      </w:pPr>
      <w:r>
        <w:rPr>
          <w:sz w:val="21"/>
        </w:rPr>
        <w:t>Jamais « tu es éligible » — chaque piste est datée, sourcée, formulée « à vérifier » ; confirmation recommandée auprès de l'organisme émetteur ou de l'expert-comptable</w:t>
      </w:r>
    </w:p>
    <w:p>
      <w:pPr>
        <w:pStyle w:val="ListBullet"/>
        <w:spacing w:after="60"/>
      </w:pPr>
      <w:r>
        <w:rPr>
          <w:sz w:val="21"/>
        </w:rPr>
        <w:t>Dégradation honnête : MCP Datagouv absent, compte vide, secteur indétectable, pays ≠ FR → le skill dit ses limites, n'invente ni dispositif, ni montant, ni échéance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qonto-grant-scout · Documentation FR (pilotage) · Hackathon Qonto × Anthropic MCP · juillet 2026 · Livrable PR : SKILL.md · Version jury : doc-qonto-grant-scout.en.docx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