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qonto-sector-benchmark</w:t>
      </w:r>
    </w:p>
    <w:p>
      <w:pPr>
        <w:jc w:val="center"/>
      </w:pPr>
      <w:r>
        <w:rPr>
          <w:b/>
          <w:color w:val="1D1B29"/>
          <w:sz w:val="26"/>
        </w:rPr>
        <w:t>« Suis-je normal ? » — tes ratios réels face aux statistiques officielles de ton secteur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#20  ·  INSEE via MCP Datagouv  ·  100 % lecture seule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« Suis-je normal ? » — la question que tout dirigeant se pose sans jamais avoir la réponse. Tu sens que tes charges sont lourdes ou que tes clients paient lentement, mais lourdes par rapport à quoi ? Le skill répond en un prompt :</w:t>
      </w:r>
    </w:p>
    <w:p>
      <w:pPr>
        <w:pStyle w:val="ListBullet"/>
        <w:spacing w:after="60"/>
      </w:pPr>
      <w:r>
        <w:rPr>
          <w:sz w:val="21"/>
        </w:rPr>
        <w:t>1. Tes ratios réels calculés depuis le compte Qonto — part des charges fixes, poids des abonnements logiciels, délai de paiement clients constaté, saisonnalité du CA, trésorerie en jours de charges</w:t>
      </w:r>
    </w:p>
    <w:p>
      <w:pPr>
        <w:pStyle w:val="ListBullet"/>
        <w:spacing w:after="60"/>
      </w:pPr>
      <w:r>
        <w:rPr>
          <w:sz w:val="21"/>
        </w:rPr>
        <w:t>2. La référence sectorielle officielle — statistiques publiques françaises (INSEE Ésane, délais de paiement) récupérées en direct via le MCP Datagouv, au niveau NAF le plus fin disponible</w:t>
      </w:r>
    </w:p>
    <w:p>
      <w:pPr>
        <w:pStyle w:val="ListBullet"/>
        <w:spacing w:after="60"/>
      </w:pPr>
      <w:r>
        <w:rPr>
          <w:sz w:val="21"/>
        </w:rPr>
        <w:t>3. L'honnêteté statistique comme cœur du skill — chaque comparaison porte sa source + millésime + granularité (« NAF 62.02A, INSEE Ésane, données 2023 ») ; jamais de chiffre sectoriel inventé</w:t>
      </w:r>
    </w:p>
    <w:p>
      <w:pPr>
        <w:pStyle w:val="ListBullet"/>
        <w:spacing w:after="60"/>
      </w:pPr>
      <w:r>
        <w:rPr>
          <w:sz w:val="21"/>
        </w:rPr>
        <w:t>4. Toi vs toi il y a un an — auto-benchmark temporel systématique, qui devient le mode dégradé complet si Datagouv est absent ou si l'entreprise n'est pas française</w:t>
      </w:r>
    </w:p>
    <w:p>
      <w:r>
        <w:rPr>
          <w:b/>
          <w:i w:val="0"/>
          <w:sz w:val="21"/>
        </w:rPr>
        <w:t>Résultat type : « tes clients te paient à 38 jours ; la médiane de ton secteur est 51 : tu encaisses PLUS VITE que tes pairs » / « tes charges fixes pèsent 61 % vs ~45 % dans ton secteur : voilà où creuser ».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Comparaison sectorielle : France uniquement (INSEE). Autres pays Qonto (DE, ES, IT…) : ratios internes + auto-benchmark temporel, jamais de mapping sur les données françaises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MCP Datagouv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Détecté dynamiquement : présent → références sectorielles en direct ; absent → le skill le dit et bascule en auto-benchmark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Code NAF connu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Lu dans get_organization quand exposé ; sinon demandé (il est sur le KBIS) ou déduit de l'activité et confirmé avant usage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Historique ≥ 12 mois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La saisonnalité exige une année pleine ; l'auto-benchmark ~24 mois. En dessous : calcule le calculable, taggue le reste indisponible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(100 % lecture seule)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La règle d'or : source + millésime + granularité sur chaque comparaison — ou pas de chiffre du tout</w:t>
      </w:r>
    </w:p>
    <w:p>
      <w:pPr>
        <w:pStyle w:val="ListBullet"/>
        <w:spacing w:after="60"/>
      </w:pPr>
      <w:r>
        <w:rPr>
          <w:sz w:val="21"/>
        </w:rPr>
        <w:t>Classe NAF non publiée → comparaison au niveau division (62 au lieu de 62.02A), annoncée sur la ligne concernée ; aucun référentiel → valeur interne seule, marquée « pas de référence publique trouvée »</w:t>
      </w:r>
    </w:p>
    <w:p>
      <w:pPr>
        <w:pStyle w:val="ListBullet"/>
        <w:spacing w:after="60"/>
      </w:pPr>
      <w:r>
        <w:rPr>
          <w:sz w:val="21"/>
        </w:rPr>
        <w:t>NAF absent des données du compte → demandé ou déduit de l'activité, et confirmé avant usage — le secteur ne se devine pas</w:t>
      </w:r>
    </w:p>
    <w:p>
      <w:pPr>
        <w:pStyle w:val="ListBullet"/>
        <w:spacing w:after="60"/>
      </w:pPr>
      <w:r>
        <w:rPr>
          <w:sz w:val="21"/>
        </w:rPr>
        <w:t>list_cash_flow_categories → 403 sur le connecteur claude.ai — classement par détection de récurrences + labels</w:t>
      </w:r>
    </w:p>
    <w:p>
      <w:pPr>
        <w:pStyle w:val="ListBullet"/>
        <w:spacing w:after="60"/>
      </w:pPr>
      <w:r>
        <w:rPr>
          <w:sz w:val="21"/>
        </w:rPr>
        <w:t>Délai clients calculé sur les factures émises via Qonto uniquement (annoncé) ; abonnements SaaS : liste détectée affichée, corrigeable en une phrase</w:t>
      </w:r>
    </w:p>
    <w:p>
      <w:pPr>
        <w:pStyle w:val="ListBullet"/>
        <w:spacing w:after="60"/>
      </w:pPr>
      <w:r>
        <w:rPr>
          <w:sz w:val="21"/>
        </w:rPr>
        <w:t>Historique &lt; 12 mois → saisonnalité « indisponible » plutôt que calculée sur du bruit · délais carte (emitted_at vs settled_at) · pagination ≤ 50 partout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compte Qonto + open data public, aucune écriture</w:t>
      </w:r>
    </w:p>
    <w:p>
      <w:r>
        <w:rPr>
          <w:b/>
          <w:i w:val="0"/>
          <w:sz w:val="21"/>
        </w:rPr>
        <w:t>🔒 Zéro écriture, par conception : le skill ne fait que lire — le compte Qonto d'un côté, l'open data public de l'autre. Rien à approuver, rien qui puisse bouger. Le seul « risque » est statistique, et il est traité par la règle d'or : source + millésime + granularité sur chaque chiffre, ou pas de chiffre.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📐 Les 5 ratios du bulletin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Ratio</w:t>
            </w:r>
          </w:p>
        </w:tc>
        <w:tc>
          <w:tcPr>
            <w:tcW w:type="dxa" w:w="385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Calcul (données Qonto)</w:t>
            </w:r>
          </w:p>
        </w:tc>
        <w:tc>
          <w:tcPr>
            <w:tcW w:type="dxa" w:w="328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Référence sectorielle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Part des charges fixes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9"/>
              </w:rPr>
              <w:t>Débits récurrents (tiers normalisé, montant stable ±10 %, ≥ 3 occurrences) ÷ total des débits, 12 mois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Structure des charges par NAF (INSEE Ésane)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Poids des abonnements logiciels</w:t>
            </w:r>
          </w:p>
        </w:tc>
        <w:tc>
          <w:tcPr>
            <w:tcW w:type="dxa" w:w="3855"/>
            <w:shd w:val="clear" w:fill="F1EDFF"/>
          </w:tcPr>
          <w:p>
            <w:pPr>
              <w:keepNext/>
            </w:pPr>
            <w:r>
              <w:rPr>
                <w:sz w:val="19"/>
              </w:rPr>
              <w:t>Récurrences dont le tiers matche des patterns SaaS ÷ total des débits — liste affichée, corrigeable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Ordre de grandeur par division NAF quand publié ; sinon valeur interne seule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Délai de paiement clients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9"/>
              </w:rPr>
              <w:t>Médiane émission de facture → paiement constaté (list_client_invoices + rapprochement transactions)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Délais de paiement moyens par secteur et taille, quand le dataset existe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Saisonnalité du CA</w:t>
            </w:r>
          </w:p>
        </w:tc>
        <w:tc>
          <w:tcPr>
            <w:tcW w:type="dxa" w:w="3855"/>
            <w:shd w:val="clear" w:fill="F1EDFF"/>
          </w:tcPr>
          <w:p>
            <w:pPr>
              <w:keepNext/>
            </w:pPr>
            <w:r>
              <w:rPr>
                <w:sz w:val="19"/>
              </w:rPr>
              <w:t>Coefficient de variation des encaissements mensuels sur 24 mois + mois pic/creux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Indices d'activité sectoriels quand disponibles ; sinon auto-benchmark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b/>
                <w:sz w:val="19"/>
              </w:rPr>
              <w:t>Trésorerie en jours de charges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  <w:t>Solde consolidé ÷ charge moyenne journalière (12 mois)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Surtout temporel (toi vs toi) — peu de référentiel public fiable, et le skill le dit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🏛 Les référentiels publics utilisés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72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Référentiel</w:t>
            </w:r>
          </w:p>
        </w:tc>
        <w:tc>
          <w:tcPr>
            <w:tcW w:type="dxa" w:w="419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Ce qu'on y lit</w:t>
            </w:r>
          </w:p>
        </w:tc>
        <w:tc>
          <w:tcPr>
            <w:tcW w:type="dxa" w:w="272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Piège connu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/>
            </w:pPr>
            <w:r>
              <w:rPr>
                <w:b/>
                <w:sz w:val="19"/>
              </w:rPr>
              <w:t>INSEE Ésane (statistiques structurelles)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Taux de marge, structure des charges, ratios sectoriels — classe NAF ou division (repli annoncé)</w:t>
            </w:r>
          </w:p>
        </w:tc>
        <w:tc>
          <w:tcPr>
            <w:tcW w:type="dxa" w:w="2721"/>
          </w:tcPr>
          <w:p>
            <w:pPr>
              <w:keepNext/>
            </w:pPr>
            <w:r>
              <w:rPr>
                <w:sz w:val="19"/>
              </w:rPr>
              <w:t>Millésime en retard de 2-3 ans — toujours affiché</w:t>
            </w:r>
          </w:p>
        </w:tc>
      </w:tr>
      <w:tr>
        <w:trPr>
          <w:cantSplit/>
        </w:trPr>
        <w:tc>
          <w:tcPr>
            <w:tcW w:type="dxa" w:w="272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Datasets délais de paiement (data.gouv.fr)</w:t>
            </w:r>
          </w:p>
        </w:tc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sz w:val="19"/>
              </w:rPr>
              <w:t>Délais moyens/médians par secteur et taille — granularité vérifiée via get_dataset_info</w:t>
            </w:r>
          </w:p>
        </w:tc>
        <w:tc>
          <w:tcPr>
            <w:tcW w:type="dxa" w:w="2721"/>
            <w:shd w:val="clear" w:fill="F1EDFF"/>
          </w:tcPr>
          <w:p>
            <w:pPr>
              <w:keepNext/>
            </w:pPr>
            <w:r>
              <w:rPr>
                <w:sz w:val="19"/>
              </w:rPr>
              <w:t>Privilégier les producteurs officiels sur les dépôts tiers</w:t>
            </w:r>
          </w:p>
        </w:tc>
      </w:tr>
      <w:tr>
        <w:trPr>
          <w:cantSplit/>
        </w:trPr>
        <w:tc>
          <w:tcPr>
            <w:tcW w:type="dxa" w:w="2721"/>
          </w:tcPr>
          <w:p>
            <w:r>
              <w:rPr>
                <w:b/>
                <w:sz w:val="19"/>
              </w:rPr>
              <w:t>Chaîne MCP Datagouv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  <w:t>search_datasets → get_dataset_info → query_resource_data, filtré sur le NAF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Ressource non tabulaire/volumineuse → autre ressource, jamais un chiffre de mémoire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Scorecard markdown : ratio · valeur · référence sourcée · verdict · tendance N-1, + constats + sources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Scorecard interactive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Fichier/artifact HTML : 5 jauges face aux fourchettes secteur, sources en bas de page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Si l'hôte affiche les fichiers ; repli sur le markdown sinon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la question « am I normal? » → ratios réels calculés → références INSEE sourcées → la révélation (les abonnements n'étaient pas le problème ; les délais clients, si) → le bulletin final. Tournée en live sur un compte de production réel.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Référentiels par taille d'entreprise (NAF × tranche d'effectif/CA)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Ésane publie certaines ventilations par taille — comparaison encore plus juste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Modules pays (Destatis DE, INE ES, ISTAT IT…)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Élevé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Même architecture, un connecteur open-data par pays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Historique des bulletins : trajectoire sur 4-8 trimestres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Réutilise l'auto-benchmark, simple mémoire des runs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Benchmark « panier de pairs » anonymisé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Élevé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Hors MCP actuel — piste produit Qonto plus que skill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100 % lecture seule : aucun outil d'écriture appelé — rien à approuver, rien qui puisse bouger</w:t>
      </w:r>
    </w:p>
    <w:p>
      <w:pPr>
        <w:pStyle w:val="ListBullet"/>
        <w:spacing w:after="60"/>
      </w:pPr>
      <w:r>
        <w:rPr>
          <w:sz w:val="21"/>
        </w:rPr>
        <w:t>JAMAIS de chiffre sectoriel inventé : pas de dataset → la ligne le dit ; granularité dégradée → annoncée ; millésime toujours affiché</w:t>
      </w:r>
    </w:p>
    <w:p>
      <w:pPr>
        <w:pStyle w:val="ListBullet"/>
        <w:spacing w:after="60"/>
      </w:pPr>
      <w:r>
        <w:rPr>
          <w:sz w:val="21"/>
        </w:rPr>
        <w:t>Ratios bancaires ≠ comptabilité : approximation honnête, rappelée dans chaque rapport — les chiffres de l'expert-comptable prévalent</w:t>
      </w:r>
    </w:p>
    <w:p>
      <w:pPr>
        <w:pStyle w:val="ListBullet"/>
        <w:spacing w:after="60"/>
      </w:pPr>
      <w:r>
        <w:rPr>
          <w:sz w:val="21"/>
        </w:rPr>
        <w:t>Secteur confirmé, pas supposé, quand le NAF n'est pas dans les données du compte</w:t>
      </w:r>
    </w:p>
    <w:p>
      <w:pPr>
        <w:pStyle w:val="ListBullet"/>
        <w:spacing w:after="60"/>
      </w:pPr>
      <w:r>
        <w:rPr>
          <w:sz w:val="21"/>
        </w:rPr>
        <w:t>Bulletin trimestriel/annuel, pas du pilotage quotidien — pour le jour-le-jour : qonto-ceo-cockpit</w:t>
      </w:r>
    </w:p>
    <w:p>
      <w:pPr>
        <w:pStyle w:val="ListBullet"/>
        <w:spacing w:after="60"/>
      </w:pPr>
      <w:r>
        <w:rPr>
          <w:sz w:val="21"/>
        </w:rPr>
        <w:t>IBAN masqués (4 derniers chiffres) · pagination ≤ 50 partout</w:t>
      </w:r>
    </w:p>
    <w:p>
      <w:pPr>
        <w:spacing w:before="360"/>
        <w:jc w:val="center"/>
      </w:pPr>
      <w:r>
        <w:rPr>
          <w:color w:val="5A5670"/>
          <w:sz w:val="17"/>
        </w:rPr>
        <w:t>qonto-sector-benchmark · Documentation FR (pilotage) · Hackathon Qonto × Anthropic MCP · juillet 2026 · Livrable PR : SKILL.md · Version jury : doc-qonto-sector-benchmark.en.docx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