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enlo" w:hAnsi="Menlo"/>
          <w:b/>
          <w:color w:val="6B4EFF"/>
          <w:sz w:val="60"/>
        </w:rPr>
        <w:t>qonto-einvoice-ready</w:t>
      </w:r>
    </w:p>
    <w:p>
      <w:pPr>
        <w:jc w:val="center"/>
      </w:pPr>
      <w:r>
        <w:rPr>
          <w:b/>
          <w:color w:val="1D1B29"/>
          <w:sz w:val="26"/>
        </w:rPr>
        <w:t>Ready for France's September 2026 e-invoicing mandate? The audit that measures the gap, then closes it</w:t>
      </w:r>
    </w:p>
    <w:p>
      <w:pPr>
        <w:spacing w:after="280"/>
        <w:jc w:val="center"/>
      </w:pPr>
      <w:r>
        <w:rPr>
          <w:color w:val="5A5670"/>
          <w:sz w:val="19"/>
        </w:rPr>
        <w:t>Qonto × Anthropic MCP Hackathon  ·  Receiving mandatory 2026-09-01  ·  SIRENs recovered from the public registry  ·  Confirmed writes, never bulk</w:t>
      </w:r>
    </w:p>
    <w:p>
      <w:pPr>
        <w:pBdr>
          <w:bottom w:val="single" w:sz="24" w:color="6B4EFF"/>
        </w:pBdr>
        <w:spacing w:after="20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🎯 Why this matters</w:t>
      </w:r>
    </w:p>
    <w:p>
      <w:r>
        <w:rPr>
          <w:b w:val="0"/>
          <w:i w:val="0"/>
          <w:sz w:val="21"/>
        </w:rPr>
        <w:t>On September 1st, 2026, every French VAT-registered company must be able to RECEIVE electronic invoices (issuing: 2026 for large companies and mid-caps, 2027 for SMEs). The trap isn't the date — it's the client file: no SIREN, no intra-EU VAT number, no structured address = no valid Factur-X. The skill turns the Qonto account into a readiness check-up:</w:t>
      </w:r>
    </w:p>
    <w:p>
      <w:pPr>
        <w:pStyle w:val="ListBullet"/>
        <w:spacing w:after="60"/>
      </w:pPr>
      <w:r>
        <w:rPr>
          <w:sz w:val="21"/>
        </w:rPr>
        <w:t>1. Readiness score — client file complete for Factur-X (SIREN/SIRET, intra-EU VAT, structured address), quality of issued invoices, timeline known, e-reporting exposure — transparent formula, before/after</w:t>
      </w:r>
    </w:p>
    <w:p>
      <w:pPr>
        <w:pStyle w:val="ListBullet"/>
        <w:spacing w:after="60"/>
      </w:pPr>
      <w:r>
        <w:rPr>
          <w:sz w:val="21"/>
        </w:rPr>
        <w:t>2. Your timeline — company size fetched from the public registry (large/mid-cap/SME) or asked, never guessed → your issuing date, 2026 or 2027</w:t>
      </w:r>
    </w:p>
    <w:p>
      <w:pPr>
        <w:pStyle w:val="ListBullet"/>
        <w:spacing w:after="60"/>
      </w:pPr>
      <w:r>
        <w:rPr>
          <w:sz w:val="21"/>
        </w:rPr>
        <w:t>3. E-reporting exposure — foreign and consumer (B2C) clients spotted in the records AND the real money flows: outside e-invoicing, but data to transmit</w:t>
      </w:r>
    </w:p>
    <w:p>
      <w:pPr>
        <w:pStyle w:val="ListBullet"/>
        <w:spacing w:after="60"/>
      </w:pPr>
      <w:r>
        <w:rPr>
          <w:sz w:val="21"/>
        </w:rPr>
        <w:t>4. Live fix — SIRENs recovered from the public French company registry API (no key), line-by-line preview → update_client only after confirmation, never in bulk</w:t>
      </w:r>
    </w:p>
    <w:p>
      <w:r>
        <w:rPr>
          <w:b/>
          <w:i w:val="0"/>
          <w:sz w:val="21"/>
        </w:rPr>
        <w:t>Would someone run this on a Monday morning? With a legal deadline counting down for every French business, it's the Monday-morning question of 2026.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📋 Prerequisites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38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Prerequisite</w:t>
            </w:r>
          </w:p>
        </w:tc>
        <w:tc>
          <w:tcPr>
            <w:tcW w:type="dxa" w:w="5443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Detail</w:t>
            </w:r>
          </w:p>
        </w:tc>
        <w:tc>
          <w:tcPr>
            <w:tcW w:type="dxa" w:w="181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Required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Qonto production account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Adapts to any organization — get_organization first, nothing hardcoded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Yes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Country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French reform. Other Qonto countries (DE, ES, IT…): generic client-file completeness audit, never an invented deadline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ℹ️ Detected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Qonto MCP connected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Official connector (claude.ai / Claude Desktop), OAuth login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Yes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Client records in Qonto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The raw material of the audit; with none, the skill explains the reform reference and stops there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⭕ Optional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Public registry API reachable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recherche-entreprises.api.gouv.fr — no key; if down, the audit still runs, only the live fix waits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⭕ Optional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r>
              <w:rPr>
                <w:b/>
                <w:sz w:val="19"/>
              </w:rPr>
              <w:t>Company size</w:t>
            </w:r>
          </w:p>
        </w:tc>
        <w:tc>
          <w:tcPr>
            <w:tcW w:type="dxa" w:w="5443"/>
            <w:shd w:val="clear" w:fill="F1EDFF"/>
          </w:tcPr>
          <w:p>
            <w:r>
              <w:rPr>
                <w:sz w:val="19"/>
              </w:rPr>
              <w:t>Fetched from the registry (categorie_entreprise) or asked — sets the issuing date (2026 or 2027)</w:t>
            </w:r>
          </w:p>
        </w:tc>
        <w:tc>
          <w:tcPr>
            <w:tcW w:type="dxa" w:w="1814"/>
            <w:shd w:val="clear" w:fill="F1EDFF"/>
          </w:tcPr>
          <w:p>
            <w:r>
              <w:rPr>
                <w:sz w:val="19"/>
              </w:rPr>
              <w:t>ℹ️ Detected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⚙️ How it works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2710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71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Diagram 1 — How it works, 6 steps (single write: client records)</w:t>
      </w:r>
    </w:p>
    <w:p>
      <w:pPr>
        <w:keepNext/>
        <w:spacing w:before="200" w:after="120"/>
      </w:pPr>
      <w:r>
        <w:rPr>
          <w:b/>
          <w:color w:val="6B4EFF"/>
          <w:sz w:val="25"/>
        </w:rPr>
        <w:t>Holds up on messy data</w:t>
      </w:r>
    </w:p>
    <w:p>
      <w:pPr>
        <w:pStyle w:val="ListBullet"/>
        <w:spacing w:after="60"/>
      </w:pPr>
      <w:r>
        <w:rPr>
          <w:sz w:val="21"/>
        </w:rPr>
        <w:t>Trade name ≠ legal name: registry search by name + zip code; no match → the skill asks for the SIREN or skips the record — never an auto-match</w:t>
      </w:r>
    </w:p>
    <w:p>
      <w:pPr>
        <w:pStyle w:val="ListBullet"/>
        <w:spacing w:after="60"/>
      </w:pPr>
      <w:r>
        <w:rPr>
          <w:sz w:val="21"/>
        </w:rPr>
        <w:t>Registry homonyms: candidates shown (name, city, SIREN), the user picks — systematically</w:t>
      </w:r>
    </w:p>
    <w:p>
      <w:pPr>
        <w:pStyle w:val="ListBullet"/>
        <w:spacing w:after="60"/>
      </w:pPr>
      <w:r>
        <w:rPr>
          <w:sz w:val="21"/>
        </w:rPr>
        <w:t>Intra-EU VAT derived from the SIREN (FR key + 2 digits): always labeled “derived — to be confirmed”, never presented as verified</w:t>
      </w:r>
    </w:p>
    <w:p>
      <w:pPr>
        <w:pStyle w:val="ListBullet"/>
        <w:spacing w:after="60"/>
      </w:pPr>
      <w:r>
        <w:rPr>
          <w:sz w:val="21"/>
        </w:rPr>
        <w:t>Address dumped as one text blob → counted as incomplete, flagged for restructuring</w:t>
      </w:r>
    </w:p>
    <w:p>
      <w:pPr>
        <w:pStyle w:val="ListBullet"/>
        <w:spacing w:after="60"/>
      </w:pPr>
      <w:r>
        <w:rPr>
          <w:sz w:val="21"/>
        </w:rPr>
        <w:t>No client records, registry down, non-FR country: the skill says what it can and can't do, inventing nothing</w:t>
      </w:r>
    </w:p>
    <w:p>
      <w:pPr>
        <w:pStyle w:val="ListBullet"/>
        <w:spacing w:after="60"/>
      </w:pPr>
      <w:r>
        <w:rPr>
          <w:sz w:val="21"/>
        </w:rPr>
        <w:t>Pagination ≤ 50 everywhere · get_organization always first (list_transactions requires bank_account_id/iban)</w:t>
      </w: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🏗 Functional diagram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3765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tional.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76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Diagram 2 — Actors and flows: risk-free reads (solid), client-record write behind confirmation (dashed)</w:t>
      </w:r>
    </w:p>
    <w:p>
      <w:r>
        <w:rPr>
          <w:b/>
          <w:i w:val="0"/>
          <w:sz w:val="21"/>
        </w:rPr>
        <w:t>🔒 A write that never touches money: reads are risk-free; the write is update_client — client records only. Full preview (current → proposed value, with its source), explicit confirmation in the conversation, then field-by-field writes. Never a silent bulk update.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📅 Embedded reform reference (as of July 2026 — verify for later changes)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26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362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Obligation</w:t>
            </w:r>
          </w:p>
        </w:tc>
        <w:tc>
          <w:tcPr>
            <w:tcW w:type="dxa" w:w="374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Who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/>
            </w:pPr>
            <w:r>
              <w:rPr>
                <w:b/>
                <w:sz w:val="19"/>
              </w:rPr>
              <w:t>2026-09-01</w:t>
            </w:r>
          </w:p>
        </w:tc>
        <w:tc>
          <w:tcPr>
            <w:tcW w:type="dxa" w:w="3628"/>
          </w:tcPr>
          <w:p>
            <w:pPr>
              <w:keepNext/>
            </w:pPr>
            <w:r>
              <w:rPr>
                <w:sz w:val="19"/>
              </w:rPr>
              <w:t>RECEIVE electronic invoices</w:t>
            </w:r>
          </w:p>
        </w:tc>
        <w:tc>
          <w:tcPr>
            <w:tcW w:type="dxa" w:w="3742"/>
          </w:tcPr>
          <w:p>
            <w:pPr>
              <w:keepNext/>
            </w:pPr>
            <w:r>
              <w:rPr>
                <w:sz w:val="19"/>
              </w:rPr>
              <w:t>All French VAT-registered companies</w:t>
            </w:r>
          </w:p>
        </w:tc>
      </w:tr>
      <w:tr>
        <w:trPr>
          <w:cantSplit/>
        </w:trPr>
        <w:tc>
          <w:tcPr>
            <w:tcW w:type="dxa" w:w="226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2026-09-01</w:t>
            </w:r>
          </w:p>
        </w:tc>
        <w:tc>
          <w:tcPr>
            <w:tcW w:type="dxa" w:w="3628"/>
            <w:shd w:val="clear" w:fill="F1EDFF"/>
          </w:tcPr>
          <w:p>
            <w:pPr>
              <w:keepNext/>
            </w:pPr>
            <w:r>
              <w:rPr>
                <w:sz w:val="19"/>
              </w:rPr>
              <w:t>Issue electronic invoices</w:t>
            </w:r>
          </w:p>
        </w:tc>
        <w:tc>
          <w:tcPr>
            <w:tcW w:type="dxa" w:w="3742"/>
            <w:shd w:val="clear" w:fill="F1EDFF"/>
          </w:tcPr>
          <w:p>
            <w:pPr>
              <w:keepNext/>
            </w:pPr>
            <w:r>
              <w:rPr>
                <w:sz w:val="19"/>
              </w:rPr>
              <w:t>Large companies &amp; mid-caps (ETI)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/>
            </w:pPr>
            <w:r>
              <w:rPr>
                <w:b/>
                <w:sz w:val="19"/>
              </w:rPr>
              <w:t>2027-09-01</w:t>
            </w:r>
          </w:p>
        </w:tc>
        <w:tc>
          <w:tcPr>
            <w:tcW w:type="dxa" w:w="3628"/>
          </w:tcPr>
          <w:p>
            <w:pPr>
              <w:keepNext/>
            </w:pPr>
            <w:r>
              <w:rPr>
                <w:sz w:val="19"/>
              </w:rPr>
              <w:t>Issue electronic invoices</w:t>
            </w:r>
          </w:p>
        </w:tc>
        <w:tc>
          <w:tcPr>
            <w:tcW w:type="dxa" w:w="3742"/>
          </w:tcPr>
          <w:p>
            <w:pPr>
              <w:keepNext/>
            </w:pPr>
            <w:r>
              <w:rPr>
                <w:sz w:val="19"/>
              </w:rPr>
              <w:t>SMEs &amp; micro-enterprises</w:t>
            </w:r>
          </w:p>
        </w:tc>
      </w:tr>
      <w:tr>
        <w:trPr>
          <w:cantSplit/>
        </w:trPr>
        <w:tc>
          <w:tcPr>
            <w:tcW w:type="dxa" w:w="2268"/>
            <w:shd w:val="clear" w:fill="F1EDFF"/>
          </w:tcPr>
          <w:p>
            <w:r>
              <w:rPr>
                <w:b/>
                <w:sz w:val="19"/>
              </w:rPr>
              <w:t>Same as issuing</w:t>
            </w:r>
          </w:p>
        </w:tc>
        <w:tc>
          <w:tcPr>
            <w:tcW w:type="dxa" w:w="3628"/>
            <w:shd w:val="clear" w:fill="F1EDFF"/>
          </w:tcPr>
          <w:p>
            <w:r>
              <w:rPr>
                <w:sz w:val="19"/>
              </w:rPr>
              <w:t>E-reporting (B2C + cross-border transaction data)</w:t>
            </w:r>
          </w:p>
        </w:tc>
        <w:tc>
          <w:tcPr>
            <w:tcW w:type="dxa" w:w="3742"/>
            <w:shd w:val="clear" w:fill="F1EDFF"/>
          </w:tcPr>
          <w:p>
            <w:r>
              <w:rPr>
                <w:sz w:val="19"/>
              </w:rPr>
              <w:t>All, per their issuing date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sz w:val="21"/>
        </w:rPr>
        <w:t>Formats: Factur-X (PDF/A-3 + embedded CII XML), UBL 2.1, CII — EN 16931 semantic core; buyer identification (SIREN/SIRET) is mandatory in each</w:t>
      </w:r>
    </w:p>
    <w:p>
      <w:pPr>
        <w:pStyle w:val="ListBullet"/>
        <w:spacing w:after="60"/>
      </w:pPr>
      <w:r>
        <w:rPr>
          <w:sz w:val="21"/>
        </w:rPr>
        <w:t>Exchange model: invoices flow through accredited platforms (PDP); a central directory maps each SIREN/SIRET to its platform — the PDP choice belongs to the user</w:t>
      </w:r>
    </w:p>
    <w:p>
      <w:pPr>
        <w:pStyle w:val="ListBullet"/>
        <w:spacing w:after="60"/>
      </w:pPr>
      <w:r>
        <w:rPr>
          <w:sz w:val="21"/>
        </w:rPr>
        <w:t>Mentions already required (2022 decree): client's SIREN, delivery address when it differs, nature of the operation, “VAT on debits” option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🔎 The live fix (the heart of the skill)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204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type="dxa" w:w="7597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What happens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</w:pPr>
            <w:r>
              <w:rPr>
                <w:b/>
                <w:sz w:val="19"/>
              </w:rPr>
              <w:t>Lookup</w:t>
            </w:r>
          </w:p>
        </w:tc>
        <w:tc>
          <w:tcPr>
            <w:tcW w:type="dxa" w:w="7597"/>
          </w:tcPr>
          <w:p>
            <w:pPr>
              <w:keepNext/>
            </w:pPr>
            <w:r>
              <w:rPr>
                <w:sz w:val="19"/>
              </w:rPr>
              <w:t>recherche-entreprises.api.gouv.fr by name + zip — public data.gouv API, no key</w:t>
            </w:r>
          </w:p>
        </w:tc>
      </w:tr>
      <w:tr>
        <w:trPr>
          <w:cantSplit/>
        </w:trPr>
        <w:tc>
          <w:tcPr>
            <w:tcW w:type="dxa" w:w="204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Homonyms</w:t>
            </w:r>
          </w:p>
        </w:tc>
        <w:tc>
          <w:tcPr>
            <w:tcW w:type="dxa" w:w="7597"/>
            <w:shd w:val="clear" w:fill="F1EDFF"/>
          </w:tcPr>
          <w:p>
            <w:pPr>
              <w:keepNext/>
            </w:pPr>
            <w:r>
              <w:rPr>
                <w:sz w:val="19"/>
              </w:rPr>
              <w:t>Several plausible candidates → name, city, SIREN shown, the skill asks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</w:pPr>
            <w:r>
              <w:rPr>
                <w:b/>
                <w:sz w:val="19"/>
              </w:rPr>
              <w:t>Intra-EU VAT</w:t>
            </w:r>
          </w:p>
        </w:tc>
        <w:tc>
          <w:tcPr>
            <w:tcW w:type="dxa" w:w="7597"/>
          </w:tcPr>
          <w:p>
            <w:pPr>
              <w:keepNext/>
            </w:pPr>
            <w:r>
              <w:rPr>
                <w:sz w:val="19"/>
              </w:rPr>
              <w:t>Derived from the SIREN — always labeled “derived, to be confirmed”</w:t>
            </w:r>
          </w:p>
        </w:tc>
      </w:tr>
      <w:tr>
        <w:trPr>
          <w:cantSplit/>
        </w:trPr>
        <w:tc>
          <w:tcPr>
            <w:tcW w:type="dxa" w:w="204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Preview</w:t>
            </w:r>
          </w:p>
        </w:tc>
        <w:tc>
          <w:tcPr>
            <w:tcW w:type="dxa" w:w="7597"/>
            <w:shd w:val="clear" w:fill="F1EDFF"/>
          </w:tcPr>
          <w:p>
            <w:pPr>
              <w:keepNext/>
            </w:pPr>
            <w:r>
              <w:rPr>
                <w:sz w:val="19"/>
              </w:rPr>
              <w:t>One table: client · field · current → proposed value · source (registry / derived / user)</w:t>
            </w:r>
          </w:p>
        </w:tc>
      </w:tr>
      <w:tr>
        <w:trPr>
          <w:cantSplit/>
        </w:trPr>
        <w:tc>
          <w:tcPr>
            <w:tcW w:type="dxa" w:w="2041"/>
          </w:tcPr>
          <w:p>
            <w:r>
              <w:rPr>
                <w:b/>
                <w:sz w:val="19"/>
              </w:rPr>
              <w:t>Write</w:t>
            </w:r>
          </w:p>
        </w:tc>
        <w:tc>
          <w:tcPr>
            <w:tcW w:type="dxa" w:w="7597"/>
          </w:tcPr>
          <w:p>
            <w:r>
              <w:rPr>
                <w:sz w:val="19"/>
              </w:rPr>
              <w:t>After explicit confirmation: update_client field by field, outcome reported honestly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21"/>
        </w:rPr>
        <w:t>Example (fictional, invented numbers): “Readiness: 62%. 9 of your 14 clients have no SIRET — I found 7 in the national registry. Line-by-line preview, do you confirm?” → after the writes: 91%.</w:t>
      </w: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📤 Output formats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60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Output</w:t>
            </w:r>
          </w:p>
        </w:tc>
        <w:tc>
          <w:tcPr>
            <w:tcW w:type="dxa" w:w="3969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Format</w:t>
            </w:r>
          </w:p>
        </w:tc>
        <w:tc>
          <w:tcPr>
            <w:tcW w:type="dxa" w:w="306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When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b/>
                <w:sz w:val="19"/>
              </w:rPr>
              <w:t>Conversation reply</w:t>
            </w:r>
          </w:p>
        </w:tc>
        <w:tc>
          <w:tcPr>
            <w:tcW w:type="dxa" w:w="3969"/>
          </w:tcPr>
          <w:p>
            <w:pPr>
              <w:keepNext/>
            </w:pPr>
            <w:r>
              <w:rPr>
                <w:sz w:val="19"/>
              </w:rPr>
              <w:t>Markdown tables: detailed score, incomplete records, timeline, e-reporting exposure</w:t>
            </w:r>
          </w:p>
        </w:tc>
        <w:tc>
          <w:tcPr>
            <w:tcW w:type="dxa" w:w="3061"/>
          </w:tcPr>
          <w:p>
            <w:pPr>
              <w:keepNext/>
            </w:pPr>
            <w:r>
              <w:rPr>
                <w:sz w:val="19"/>
              </w:rPr>
              <w:t>Always — the baseline</w:t>
            </w:r>
          </w:p>
        </w:tc>
      </w:tr>
      <w:tr>
        <w:trPr>
          <w:cantSplit/>
        </w:trPr>
        <w:tc>
          <w:tcPr>
            <w:tcW w:type="dxa" w:w="260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Fix preview</w:t>
            </w:r>
          </w:p>
        </w:tc>
        <w:tc>
          <w:tcPr>
            <w:tcW w:type="dxa" w:w="3969"/>
            <w:shd w:val="clear" w:fill="F1EDFF"/>
          </w:tcPr>
          <w:p>
            <w:pPr>
              <w:keepNext/>
            </w:pPr>
            <w:r>
              <w:rPr>
                <w:sz w:val="19"/>
              </w:rPr>
              <w:t>One table: client · field · current → proposed · source, pending confirmation</w:t>
            </w:r>
          </w:p>
        </w:tc>
        <w:tc>
          <w:tcPr>
            <w:tcW w:type="dxa" w:w="3061"/>
            <w:shd w:val="clear" w:fill="F1EDFF"/>
          </w:tcPr>
          <w:p>
            <w:pPr>
              <w:keepNext/>
            </w:pPr>
            <w:r>
              <w:rPr>
                <w:sz w:val="19"/>
              </w:rPr>
              <w:t>Every proposed fix</w:t>
            </w:r>
          </w:p>
        </w:tc>
      </w:tr>
      <w:tr>
        <w:trPr>
          <w:cantSplit/>
        </w:trPr>
        <w:tc>
          <w:tcPr>
            <w:tcW w:type="dxa" w:w="2608"/>
          </w:tcPr>
          <w:p>
            <w:r>
              <w:rPr>
                <w:b/>
                <w:sz w:val="19"/>
              </w:rPr>
              <w:t>Readiness report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HTML file/artifact: before/after gauge, countdown, action plan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  <w:t>When the host renders files; fallback to tables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🎬 Demo video</w:t>
      </w:r>
    </w:p>
    <w:p>
      <w:r>
        <w:rPr>
          <w:b w:val="0"/>
          <w:i w:val="0"/>
          <w:sz w:val="21"/>
        </w:rPr>
        <w:t>The ≤ 3-minute demo attached to the PR walks through: the 2026-09-01 wall → audit and score → the live fix (public registry → preview → confirmation) → the after-score and action plan. It runs live on a real production account. (The detailed shooting script is kept internal, out of the repo.)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💡 Roadmap ideas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476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Idea</w:t>
            </w:r>
          </w:p>
        </w:tc>
        <w:tc>
          <w:tcPr>
            <w:tcW w:type="dxa" w:w="147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Effort</w:t>
            </w:r>
          </w:p>
        </w:tc>
        <w:tc>
          <w:tcPr>
            <w:tcW w:type="dxa" w:w="340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Recurring check-up (“re-scan my client file monthly”)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Low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The score decays with every new incomplete client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Intra-EU VAT validation via the public VIES service</w:t>
            </w:r>
          </w:p>
        </w:tc>
        <w:tc>
          <w:tcPr>
            <w:tcW w:type="dxa" w:w="1474"/>
            <w:shd w:val="clear" w:fill="F1EDFF"/>
          </w:tcPr>
          <w:p>
            <w:pPr>
              <w:keepNext/>
            </w:pPr>
            <w:r>
              <w:rPr>
                <w:sz w:val="19"/>
              </w:rPr>
              <w:t>Medium</w:t>
            </w:r>
          </w:p>
        </w:tc>
        <w:tc>
          <w:tcPr>
            <w:tcW w:type="dxa" w:w="3402"/>
            <w:shd w:val="clear" w:fill="F1EDFF"/>
          </w:tcPr>
          <w:p>
            <w:pPr>
              <w:keepNext/>
            </w:pPr>
            <w:r>
              <w:rPr>
                <w:sz w:val="19"/>
              </w:rPr>
              <w:t>Same “public API, no key” pattern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Supplier-side audit (purchase records)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Medium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Reuses the scoring engine as-is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Country modules (DE XRechnung · IT SdI · ES Verifactu…)</w:t>
            </w:r>
          </w:p>
        </w:tc>
        <w:tc>
          <w:tcPr>
            <w:tcW w:type="dxa" w:w="1474"/>
            <w:shd w:val="clear" w:fill="F1EDFF"/>
          </w:tcPr>
          <w:p>
            <w:pPr>
              <w:keepNext/>
            </w:pPr>
            <w:r>
              <w:rPr>
                <w:sz w:val="19"/>
              </w:rPr>
              <w:t>Medium</w:t>
            </w:r>
          </w:p>
        </w:tc>
        <w:tc>
          <w:tcPr>
            <w:tcW w:type="dxa" w:w="3402"/>
            <w:shd w:val="clear" w:fill="F1EDFF"/>
          </w:tcPr>
          <w:p>
            <w:pPr>
              <w:keepNext/>
            </w:pPr>
            <w:r>
              <w:rPr>
                <w:sz w:val="19"/>
              </w:rPr>
              <w:t>Qonto is pan-European; v1 = France + country detection</w:t>
            </w:r>
          </w:p>
        </w:tc>
      </w:tr>
      <w:tr>
        <w:trPr>
          <w:cantSplit/>
        </w:trPr>
        <w:tc>
          <w:tcPr>
            <w:tcW w:type="dxa" w:w="4762"/>
          </w:tcPr>
          <w:p>
            <w:r>
              <w:rPr>
                <w:b/>
                <w:sz w:val="19"/>
              </w:rPr>
              <w:t>Pairs with qonto-vat-return and qonto-meeting-invoice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The reform feeds VAT data; clean invoices from day one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🛡 Guardrails</w:t>
      </w:r>
    </w:p>
    <w:p>
      <w:pPr>
        <w:pStyle w:val="ListBullet"/>
        <w:spacing w:after="60"/>
      </w:pPr>
      <w:r>
        <w:rPr>
          <w:sz w:val="21"/>
        </w:rPr>
        <w:t>An audit, not legal or tax advice — stated in every report; edge cases → the company's accountant</w:t>
      </w:r>
    </w:p>
    <w:p>
      <w:pPr>
        <w:pStyle w:val="ListBullet"/>
        <w:spacing w:after="60"/>
      </w:pPr>
      <w:r>
        <w:rPr>
          <w:sz w:val="21"/>
        </w:rPr>
        <w:t>The PDP choice belongs to the user: criteria provided, decision never made for them</w:t>
      </w:r>
    </w:p>
    <w:p>
      <w:pPr>
        <w:pStyle w:val="ListBullet"/>
        <w:spacing w:after="60"/>
      </w:pPr>
      <w:r>
        <w:rPr>
          <w:sz w:val="21"/>
        </w:rPr>
        <w:t>Registry homonyms → confirmation, always; derived VAT numbers labeled as derived</w:t>
      </w:r>
    </w:p>
    <w:p>
      <w:pPr>
        <w:pStyle w:val="ListBullet"/>
        <w:spacing w:after="60"/>
      </w:pPr>
      <w:r>
        <w:rPr>
          <w:sz w:val="21"/>
        </w:rPr>
        <w:t>update_client: full preview + explicit confirmation, field by field, never a silent bulk update; failures reported, never presented as done</w:t>
      </w:r>
    </w:p>
    <w:p>
      <w:pPr>
        <w:pStyle w:val="ListBullet"/>
        <w:spacing w:after="60"/>
      </w:pPr>
      <w:r>
        <w:rPr>
          <w:sz w:val="21"/>
        </w:rPr>
        <w:t>Report examples invented and stated as such · pagination ≤ 50 everywhere · graceful degradation (empty account, non-FR country, registry down)</w:t>
      </w:r>
    </w:p>
    <w:p>
      <w:pPr>
        <w:spacing w:before="360"/>
        <w:jc w:val="center"/>
      </w:pPr>
      <w:r>
        <w:rPr>
          <w:color w:val="5A5670"/>
          <w:sz w:val="17"/>
        </w:rPr>
        <w:t>qonto-einvoice-ready · English documentation · Qonto × Anthropic MCP Hackathon · July 2026 · PR deliverable: SKILL.md · French version: doc-qonto-einvoice-ready.fr.docx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Helvetica Neue" w:hAnsi="Helvetica Neue"/>
      <w:color w:val="1D1B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