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qonto-einvoice-ready</w:t>
      </w:r>
    </w:p>
    <w:p>
      <w:pPr>
        <w:jc w:val="center"/>
      </w:pPr>
      <w:r>
        <w:rPr>
          <w:b/>
          <w:color w:val="1D1B29"/>
          <w:sz w:val="26"/>
        </w:rPr>
        <w:t>Prêt pour la facturation électronique du 1er septembre 2026 ? L'audit qui mesure l'écart, puis le comble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Réception obligatoire 01/09/2026  ·  SIREN retrouvés au registre public  ·  Écritures confirmées, jamais en masse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 1er septembre 2026, toutes les entreprises françaises assujetties à la TVA devront pouvoir RECEVOIR des factures électroniques (émission : 2026 pour les grandes entreprises et ETI, 2027 pour les PME/TPE). Le piège n'est pas la date — c'est le fichier clients : sans SIREN, sans TVA intracom, sans adresse structurée, pas de Factur-X valide. Le skill transforme le compte Qonto en check-up de préparation :</w:t>
      </w:r>
    </w:p>
    <w:p>
      <w:pPr>
        <w:pStyle w:val="ListBullet"/>
        <w:spacing w:after="60"/>
      </w:pPr>
      <w:r>
        <w:rPr>
          <w:sz w:val="21"/>
        </w:rPr>
        <w:t>1. Score de readiness — fichier clients complet pour Factur-X (SIREN/SIRET, TVA intracom, adresse structurée), qualité des factures émises, calendrier connu, exposition e-reporting — formule transparente, avant/après</w:t>
      </w:r>
    </w:p>
    <w:p>
      <w:pPr>
        <w:pStyle w:val="ListBullet"/>
        <w:spacing w:after="60"/>
      </w:pPr>
      <w:r>
        <w:rPr>
          <w:sz w:val="21"/>
        </w:rPr>
        <w:t>2. Calendrier applicable — taille de l'entreprise retrouvée au registre public (GE/ETI/PME) ou demandée, jamais devinée → ta date d'émission, 2026 ou 2027</w:t>
      </w:r>
    </w:p>
    <w:p>
      <w:pPr>
        <w:pStyle w:val="ListBullet"/>
        <w:spacing w:after="60"/>
      </w:pPr>
      <w:r>
        <w:rPr>
          <w:sz w:val="21"/>
        </w:rPr>
        <w:t>3. Exposition e-reporting — clients étrangers et B2C repérés dans les fiches ET dans les flux réels : hors e-invoicing, mais données à transmettre</w:t>
      </w:r>
    </w:p>
    <w:p>
      <w:pPr>
        <w:pStyle w:val="ListBullet"/>
        <w:spacing w:after="60"/>
      </w:pPr>
      <w:r>
        <w:rPr>
          <w:sz w:val="21"/>
        </w:rPr>
        <w:t>4. Correction en live — SIREN retrouvés via l'API publique recherche-entreprises (data.gouv, sans clé), aperçu ligne par ligne → update_client uniquement après confirmation, jamais en masse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Réforme française. Autres pays Qonto (DE, ES, IT…) : audit générique de complétude du fichier clients, jamais de calendrier inventé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Des fiches clients dans Qonto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La matière première de l'audit ; sans clients, le skill explique le référentiel et s'arrête là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API registre public joignable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recherche-entreprises.api.gouv.fr — sans clé ; si indisponible, l'audit tourne, seule la correction en live attend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Taille de l'entreprise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Retrouvée au registre (categorie_entreprise) ou demandée — fixe la date d'émission (2026 ou 2027)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ℹ️ Détecté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seule écriture : les fiches clients)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Nom commercial ≠ raison sociale : recherche au registre par nom + code postal ; sans correspondance, le skill demande le SIREN ou passe la fiche — jamais d'auto-match</w:t>
      </w:r>
    </w:p>
    <w:p>
      <w:pPr>
        <w:pStyle w:val="ListBullet"/>
        <w:spacing w:after="60"/>
      </w:pPr>
      <w:r>
        <w:rPr>
          <w:sz w:val="21"/>
        </w:rPr>
        <w:t>Homonymes du registre : candidats affichés (nom, ville, SIREN), l'utilisateur tranche, systématiquement</w:t>
      </w:r>
    </w:p>
    <w:p>
      <w:pPr>
        <w:pStyle w:val="ListBullet"/>
        <w:spacing w:after="60"/>
      </w:pPr>
      <w:r>
        <w:rPr>
          <w:sz w:val="21"/>
        </w:rPr>
        <w:t>TVA intracom dérivée du SIREN (clé FR + 2 chiffres) : toujours marquée « dérivée, à confirmer »</w:t>
      </w:r>
    </w:p>
    <w:p>
      <w:pPr>
        <w:pStyle w:val="ListBullet"/>
        <w:spacing w:after="60"/>
      </w:pPr>
      <w:r>
        <w:rPr>
          <w:sz w:val="21"/>
        </w:rPr>
        <w:t>Adresse en vrac dans un seul champ → comptée comme incomplète, signalée à restructurer</w:t>
      </w:r>
    </w:p>
    <w:p>
      <w:pPr>
        <w:pStyle w:val="ListBullet"/>
        <w:spacing w:after="60"/>
      </w:pPr>
      <w:r>
        <w:rPr>
          <w:sz w:val="21"/>
        </w:rPr>
        <w:t>Aucune fiche client, registre indisponible, pays ≠ FR : le skill dit ce qu'il peut et ne peut pas faire, sans rien inventer</w:t>
      </w:r>
    </w:p>
    <w:p>
      <w:pPr>
        <w:pStyle w:val="ListBullet"/>
        <w:spacing w:after="60"/>
      </w:pPr>
      <w:r>
        <w:rPr>
          <w:sz w:val="21"/>
        </w:rPr>
        <w:t>Pagination ≤ 50 partout · get_organization toujours en premier (list_transactions exige bank_account_id/iban)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écriture fiche client sous confirmation (pointillé)</w:t>
      </w:r>
    </w:p>
    <w:p>
      <w:r>
        <w:rPr>
          <w:b/>
          <w:i w:val="0"/>
          <w:sz w:val="21"/>
        </w:rPr>
        <w:t>🔒 Une écriture qui ne touche jamais à l'argent : la lecture est sans risque ; l'écriture est update_client — fiches clients uniquement. Aperçu complet (valeur actuelle → proposée, avec la source), confirmation explicite dans la conversation, écriture champ par champ. Jamais de mise à jour en masse silencieuse.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📅 Référentiel réforme embarqué (arrêté à juillet 2026 — à revérifier ensuite)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Obligation</w:t>
            </w:r>
          </w:p>
        </w:tc>
        <w:tc>
          <w:tcPr>
            <w:tcW w:type="dxa" w:w="374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01/09/2026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RECEVOIR des factures électroniques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Toutes les entreprises françaises assujetties à la TVA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01/09/2026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Émettre en électronique</w:t>
            </w:r>
          </w:p>
        </w:tc>
        <w:tc>
          <w:tcPr>
            <w:tcW w:type="dxa" w:w="3742"/>
            <w:shd w:val="clear" w:fill="F1EDFF"/>
          </w:tcPr>
          <w:p>
            <w:pPr>
              <w:keepNext/>
            </w:pPr>
            <w:r>
              <w:rPr>
                <w:sz w:val="19"/>
              </w:rPr>
              <w:t>Grandes entreprises &amp; ETI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01/09/2027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Émettre en électronique</w:t>
            </w:r>
          </w:p>
        </w:tc>
        <w:tc>
          <w:tcPr>
            <w:tcW w:type="dxa" w:w="3742"/>
          </w:tcPr>
          <w:p>
            <w:pPr>
              <w:keepNext/>
            </w:pPr>
            <w:r>
              <w:rPr>
                <w:sz w:val="19"/>
              </w:rPr>
              <w:t>PME, TPE, micro-entreprises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r>
              <w:rPr>
                <w:b/>
                <w:sz w:val="19"/>
              </w:rPr>
              <w:t>Aligné sur l'émission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E-reporting (B2C + transactions internationales)</w:t>
            </w:r>
          </w:p>
        </w:tc>
        <w:tc>
          <w:tcPr>
            <w:tcW w:type="dxa" w:w="3742"/>
            <w:shd w:val="clear" w:fill="F1EDFF"/>
          </w:tcPr>
          <w:p>
            <w:r>
              <w:rPr>
                <w:sz w:val="19"/>
              </w:rPr>
              <w:t>Tous, selon leur date d'émission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sz w:val="21"/>
        </w:rPr>
        <w:t>Formats : Factur-X (PDF/A-3 + XML CII embarqué), UBL 2.1, CII — socle EN 16931 ; l'identification de l'acheteur (SIREN/SIRET) y est obligatoire</w:t>
      </w:r>
    </w:p>
    <w:p>
      <w:pPr>
        <w:pStyle w:val="ListBullet"/>
        <w:spacing w:after="60"/>
      </w:pPr>
      <w:r>
        <w:rPr>
          <w:sz w:val="21"/>
        </w:rPr>
        <w:t>Circuit : factures échangées via des plateformes agréées (PDP) ; un annuaire central relie chaque SIREN/SIRET à sa plateforme — le choix de la PDP appartient à l'utilisateur</w:t>
      </w:r>
    </w:p>
    <w:p>
      <w:pPr>
        <w:pStyle w:val="ListBullet"/>
        <w:spacing w:after="60"/>
      </w:pPr>
      <w:r>
        <w:rPr>
          <w:sz w:val="21"/>
        </w:rPr>
        <w:t>Mentions déjà obligatoires (décret 2022) : SIREN du client, adresse de livraison si différente, nature de l'opération, option « TVA sur les débits »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🔎 La correction en live (le cœur du skill)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759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qui se passe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Recherche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recherche-entreprises.api.gouv.fr par nom + code postal — API publique data.gouv, sans clé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Homonymes</w:t>
            </w:r>
          </w:p>
        </w:tc>
        <w:tc>
          <w:tcPr>
            <w:tcW w:type="dxa" w:w="7597"/>
            <w:shd w:val="clear" w:fill="F1EDFF"/>
          </w:tcPr>
          <w:p>
            <w:pPr>
              <w:keepNext/>
            </w:pPr>
            <w:r>
              <w:rPr>
                <w:sz w:val="19"/>
              </w:rPr>
              <w:t>Plusieurs candidats plausibles → nom, ville, SIREN affichés, le skill demande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</w:pPr>
            <w:r>
              <w:rPr>
                <w:b/>
                <w:sz w:val="19"/>
              </w:rPr>
              <w:t>TVA intracom</w:t>
            </w:r>
          </w:p>
        </w:tc>
        <w:tc>
          <w:tcPr>
            <w:tcW w:type="dxa" w:w="7597"/>
          </w:tcPr>
          <w:p>
            <w:pPr>
              <w:keepNext/>
            </w:pPr>
            <w:r>
              <w:rPr>
                <w:sz w:val="19"/>
              </w:rPr>
              <w:t>Dérivée du SIREN — toujours marquée « dérivée, à confirmer »</w:t>
            </w:r>
          </w:p>
        </w:tc>
      </w:tr>
      <w:tr>
        <w:trPr>
          <w:cantSplit/>
        </w:trPr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Aperçu</w:t>
            </w:r>
          </w:p>
        </w:tc>
        <w:tc>
          <w:tcPr>
            <w:tcW w:type="dxa" w:w="7597"/>
            <w:shd w:val="clear" w:fill="F1EDFF"/>
          </w:tcPr>
          <w:p>
            <w:pPr>
              <w:keepNext/>
            </w:pPr>
            <w:r>
              <w:rPr>
                <w:sz w:val="19"/>
              </w:rPr>
              <w:t>Un tableau unique : fiche · champ · valeur actuelle → proposée · source (registre / dérivé / utilisateur)</w:t>
            </w:r>
          </w:p>
        </w:tc>
      </w:tr>
      <w:tr>
        <w:trPr>
          <w:cantSplit/>
        </w:trPr>
        <w:tc>
          <w:tcPr>
            <w:tcW w:type="dxa" w:w="2041"/>
          </w:tcPr>
          <w:p>
            <w:r>
              <w:rPr>
                <w:b/>
                <w:sz w:val="19"/>
              </w:rPr>
              <w:t>Écriture</w:t>
            </w:r>
          </w:p>
        </w:tc>
        <w:tc>
          <w:tcPr>
            <w:tcW w:type="dxa" w:w="7597"/>
          </w:tcPr>
          <w:p>
            <w:r>
              <w:rPr>
                <w:sz w:val="19"/>
              </w:rPr>
              <w:t>Après confirmation explicite : update_client champ par champ, résultat annoncé honnêtement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Exemple (fictif, chiffres inventés) : « Readiness : 62 %. 9 de tes 14 clients n'ont pas de SIRET — j'en ai retrouvé 7 au registre national. Aperçu ligne par ligne, tu confirmes ? » → après écriture : 91 %.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: score détaillé, fiches incomplètes, calendrier, exposition e-reporting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Aperçu de correction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Tableau fiche · champ · actuel → proposé · source, soumis à confirmation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À chaque correction proposée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Rapport de readiness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Fichier/artifact HTML : jauge avant/après, compte à rebours, plan d'action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Si l'hôte affiche les fichiers ; repli sur tableaux sinon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mur du 01/09/2026 → audit et score → correction en live (registre public → aperçu → confirmation) → score après / plan d'action. Tournée en live sur un compte de production réel. (Le script détaillé de tournage est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Vérification périodique (« re-scanne mon fichier clients chaque mois »)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 score se dégrade à chaque nouveau client incomplet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Contrôle de validité des n° de TVA européens (VIES)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logique « API publique sans clé »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Extension fournisseurs : audit des fiches côté achats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le moteur de scoring tel quel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Modules pays (DE XRechnung · IT SdI · ES Verifactu…)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est paneuropéen ; v1 = France + détection du pays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Duo naturel avec qonto-vat-return et qonto-meeting-invoice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La réforme alimente la TVA ; des factures propres dès le premier jour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Audit ≠ conseil juridique ou fiscal — annoncé dans chaque rapport ; cas limites → expert-comptable</w:t>
      </w:r>
    </w:p>
    <w:p>
      <w:pPr>
        <w:pStyle w:val="ListBullet"/>
        <w:spacing w:after="60"/>
      </w:pPr>
      <w:r>
        <w:rPr>
          <w:sz w:val="21"/>
        </w:rPr>
        <w:t>Le choix de la PDP appartient à l'utilisateur : critères fournis, décision jamais prise à sa place</w:t>
      </w:r>
    </w:p>
    <w:p>
      <w:pPr>
        <w:pStyle w:val="ListBullet"/>
        <w:spacing w:after="60"/>
      </w:pPr>
      <w:r>
        <w:rPr>
          <w:sz w:val="21"/>
        </w:rPr>
        <w:t>Homonymes du registre → confirmation systématique ; TVA dérivée → marquée comme telle</w:t>
      </w:r>
    </w:p>
    <w:p>
      <w:pPr>
        <w:pStyle w:val="ListBullet"/>
        <w:spacing w:after="60"/>
      </w:pPr>
      <w:r>
        <w:rPr>
          <w:sz w:val="21"/>
        </w:rPr>
        <w:t>update_client : aperçu complet + confirmation explicite, champ par champ, jamais en masse silencieux ; échec annoncé, jamais présenté comme réussi</w:t>
      </w:r>
    </w:p>
    <w:p>
      <w:pPr>
        <w:pStyle w:val="ListBullet"/>
        <w:spacing w:after="60"/>
      </w:pPr>
      <w:r>
        <w:rPr>
          <w:sz w:val="21"/>
        </w:rPr>
        <w:t>Exemples des rapports inventés et annoncés comme tels · pagination ≤ 50 partout · dégradation propre (compte vide, pays ≠ FR, registre indisponible)</w:t>
      </w:r>
    </w:p>
    <w:p>
      <w:pPr>
        <w:spacing w:before="360"/>
        <w:jc w:val="center"/>
      </w:pPr>
      <w:r>
        <w:rPr>
          <w:color w:val="5A5670"/>
          <w:sz w:val="17"/>
        </w:rPr>
        <w:t>qonto-einvoice-ready · Documentation FR (pilotage) · Hackathon Qonto × Anthropic MCP · juillet 2026 · Livrable PR : SKILL.md · Version jury : doc-qonto-einvoice-ready.en.docx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