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qonto-support-cashdesk</w:t>
      </w:r>
    </w:p>
    <w:p>
      <w:pPr>
        <w:jc w:val="center"/>
      </w:pPr>
      <w:r>
        <w:rPr>
          <w:b/>
          <w:color w:val="1D1B29"/>
          <w:sz w:val="26"/>
        </w:rPr>
        <w:t>Le guichet facturation du support client — vérifier dans Qonto, prouver, agir, répondre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3 guichets : facture · lien · doublon  ·  Preuve par les transactions  ·  Chaque écriture confirmée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« Je n'ai pas reçu ma facture », « le lien de paiement a expiré », « vous m'avez facturé deux fois » — trois conversations support qui mobilisent le dirigeant alors que la réponse est déjà dans Qonto. Le skill transforme le compte en guichet facturation :</w:t>
      </w:r>
    </w:p>
    <w:p>
      <w:pPr>
        <w:pStyle w:val="ListBullet"/>
        <w:spacing w:after="60"/>
      </w:pPr>
      <w:r>
        <w:rPr>
          <w:sz w:val="21"/>
        </w:rPr>
        <w:t>1. Conversation lue — depuis Intercom si le MCP est connecté, sinon collée dans le chat : demande, indices d'identité et montants cités extraits</w:t>
      </w:r>
    </w:p>
    <w:p>
      <w:pPr>
        <w:pStyle w:val="ListBullet"/>
        <w:spacing w:after="60"/>
      </w:pPr>
      <w:r>
        <w:rPr>
          <w:sz w:val="21"/>
        </w:rPr>
        <w:t>2. Client matché, jamais deviné — list_clients par email puis nom/société ; candidats montrés et confirmés par l'utilisateur avant toute action</w:t>
      </w:r>
    </w:p>
    <w:p>
      <w:pPr>
        <w:pStyle w:val="ListBullet"/>
        <w:spacing w:after="60"/>
      </w:pPr>
      <w:r>
        <w:rPr>
          <w:sz w:val="21"/>
        </w:rPr>
        <w:t>3. Réalité vérifiée — factures (statuts, dates), état réel du lien de paiement, encaissements dans les transactions : chaque conclusion cite sa preuve</w:t>
      </w:r>
    </w:p>
    <w:p>
      <w:pPr>
        <w:pStyle w:val="ListBullet"/>
        <w:spacing w:after="60"/>
      </w:pPr>
      <w:r>
        <w:rPr>
          <w:sz w:val="21"/>
        </w:rPr>
        <w:t>4. Action jointe — renvoi de la facture, nouveau lien, ou avoir si le double encaissement est prouvé par deux crédits datés — chaque écriture confirmée, la réponse au client fournie en brouillon à relire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Universel — clients, factures, liens de paiement et transactions existent dans tous les pays Qonto (FR, DE, ES, IT…) ; aucune règle fiscale locale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Tous pays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Module Facturation Qonto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Factures clients et liens de paiement émis via Qonto — sinon rien à vérifier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Intercom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Lecture directe des conversations support ; sinon conversation collée dans le chat, mêmes vérifications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Optionnel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MCP Gmail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Réponse créée en brouillon (jamais envoyée par le skill) ; sinon texte à copier-coller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Optionnel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(chaque écriture confirmée)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Client introuvable par email → recherche par nom/société normalisés (casse, accents), candidats listés — jamais « le plus proche » choisi en douce ; deux homonymes → les deux montrés</w:t>
      </w:r>
    </w:p>
    <w:p>
      <w:pPr>
        <w:pStyle w:val="ListBullet"/>
        <w:spacing w:after="60"/>
      </w:pPr>
      <w:r>
        <w:rPr>
          <w:sz w:val="21"/>
        </w:rPr>
        <w:t>« Débité deux fois » mais un seul crédit trouvé → pas d'avoir ; rapport factuel de ce qui existe, quoi qu'insiste le client</w:t>
      </w:r>
    </w:p>
    <w:p>
      <w:pPr>
        <w:pStyle w:val="ListBullet"/>
        <w:spacing w:after="60"/>
      </w:pPr>
      <w:r>
        <w:rPr>
          <w:sz w:val="21"/>
        </w:rPr>
        <w:t>Montants qui ne collent pas (paiement partiel, devise) → l'écart est cité, pas lissé ; lien « expiré » mais en réalité payé → signalé, pas de nouveau lien inutile</w:t>
      </w:r>
    </w:p>
    <w:p>
      <w:pPr>
        <w:pStyle w:val="ListBullet"/>
        <w:spacing w:after="60"/>
      </w:pPr>
      <w:r>
        <w:rPr>
          <w:sz w:val="21"/>
        </w:rPr>
        <w:t>Délais de règlement carte : matching sur emitted_at, pas settled_at (1-2 jours d'écart)</w:t>
      </w:r>
    </w:p>
    <w:p>
      <w:pPr>
        <w:pStyle w:val="ListBullet"/>
        <w:spacing w:after="60"/>
      </w:pPr>
      <w:r>
        <w:rPr>
          <w:sz w:val="21"/>
        </w:rPr>
        <w:t>Intercom ou Gmail absents → dit une fois, puis le skill continue en Qonto pur</w:t>
      </w:r>
    </w:p>
    <w:p>
      <w:pPr>
        <w:pStyle w:val="ListBullet"/>
        <w:spacing w:after="60"/>
      </w:pPr>
      <w:r>
        <w:rPr>
          <w:sz w:val="21"/>
        </w:rPr>
        <w:t>Pagination ≤ 50 partout · IBAN masqués · fenêtres de dates autour de la facture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lectures sans risque (plein), écritures sous confirmation (pointillé)</w:t>
      </w:r>
    </w:p>
    <w:p>
      <w:r>
        <w:rPr>
          <w:b/>
          <w:i w:val="0"/>
          <w:sz w:val="21"/>
        </w:rPr>
        <w:t>🔒 Chaque écriture est confirmée, l'avoir est prouvé : renvoi, lien et avoir exigent chacun une confirmation explicite dans la conversation. L'avoir est un document comptable réel — proposé uniquement preuve à l'appui (deux crédits datés), jamais en « geste commercial » décidé par le skill. La réponse au client reste un brouillon : c'est l'utilisateur qui envoie. Le remboursement éventuel est un virement fait dans l'app Qonto (SCA) — le skill ne déplace jamais d'argent.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🧾 Les trois guichets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Le client dit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Le skill vérifie</w:t>
            </w:r>
          </w:p>
        </w:tc>
        <w:tc>
          <w:tcPr>
            <w:tcW w:type="dxa" w:w="36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Issue honnête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« Je n'ai pas reçu ma facture »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La facture existe ? Statut ? Email destinataire correct sur la fiche client ?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Facture trouvée → renvoi proposé (email corrigé avant si besoin) · pas de facture → rien à renvoyer, dit tel quel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« Le lien de paiement a expiré »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Statut réel du lien (get_payment_link) : ouvert, expiré, payé</w:t>
            </w:r>
          </w:p>
        </w:tc>
        <w:tc>
          <w:tcPr>
            <w:tcW w:type="dxa" w:w="3628"/>
            <w:shd w:val="clear" w:fill="F1EDFF"/>
          </w:tcPr>
          <w:p>
            <w:pPr>
              <w:keepNext/>
            </w:pPr>
            <w:r>
              <w:rPr>
                <w:sz w:val="19"/>
              </w:rPr>
              <w:t>Expiré → nouveau lien proposé · déjà payé → signalé, pas de nouveau lien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« Vous m'avez facturé deux fois »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Deux crédits pour la même facture : même montant, dates proches — les deux cités date + montant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Doublon prouvé → avoir proposé (create_credit_note) · un seul crédit → pas d'avoir, rapport de ce qui a été trouvé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Exemple (inventé) : facture INV-2026-042 de 480 €, deux crédits de 480 € encaissés à un jour d'écart → doublon prouvé, avoir de 480 € proposé avec les deux dates citées dans la réponse. Les doublons côté achats relèvent de qonto-supplier-detective ; les liens de paiement proactifs, de qonto-pay-me-now.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Diagnostic + preuve citée + tableau récap (demande → preuve → action → statut)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Brouillon de réponse client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Texte prêt à relire ; brouillon Gmail si le MCP est présent (jamais envoyé par le skill)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À chaque conversation traitée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Documents Qonto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Facture renvoyée · lien de paiement · avoir (document comptable numéroté)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Selon le cas, après confirmation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les trois messages support → matching confirmé → la preuve du doublon dans les transactions, puis l'avoir et la réponse d'excuse en une passe → les deux autres guichets en accéléré. Toutes les données de la démo sont inventées.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Détection proactive des doublons d'encaissement (scan périodique)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Le pendant ventes de qonto-supplier-detective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Historique des litiges par client (récidives, délais moyens)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Réutilise le matching client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Réponse dans la langue du client (détectée dans la conversation)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Qonto est paneuropéen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Remboursement guidé : préparation de la demande de virement (SCA dans l'app)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Moyen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Même modèle de sécurité que qonto-tax-pilot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JAMAIS d'action sur un client non confirmé ; jamais une écriture présentée comme faite si elle est en attente ou a échoué</w:t>
      </w:r>
    </w:p>
    <w:p>
      <w:pPr>
        <w:pStyle w:val="ListBullet"/>
        <w:spacing w:after="60"/>
      </w:pPr>
      <w:r>
        <w:rPr>
          <w:sz w:val="21"/>
        </w:rPr>
        <w:t>Avoir = preuve + confirmation : deux crédits datés cités et un oui explicite dans la conversation en cours — sinon pas d'avoir, quoi qu'insiste le client</w:t>
      </w:r>
    </w:p>
    <w:p>
      <w:pPr>
        <w:pStyle w:val="ListBullet"/>
        <w:spacing w:after="60"/>
      </w:pPr>
      <w:r>
        <w:rPr>
          <w:sz w:val="21"/>
        </w:rPr>
        <w:t>Le skill n'envoie jamais la réponse au client : brouillon à relire, c'est l'utilisateur qui envoie</w:t>
      </w:r>
    </w:p>
    <w:p>
      <w:pPr>
        <w:pStyle w:val="ListBullet"/>
        <w:spacing w:after="60"/>
      </w:pPr>
      <w:r>
        <w:rPr>
          <w:sz w:val="21"/>
        </w:rPr>
        <w:t>Le remboursement est un virement fait dans l'app Qonto (SCA) — le skill ne déplace jamais d'argent et le dit</w:t>
      </w:r>
    </w:p>
    <w:p>
      <w:pPr>
        <w:pStyle w:val="ListBullet"/>
        <w:spacing w:after="60"/>
      </w:pPr>
      <w:r>
        <w:rPr>
          <w:sz w:val="21"/>
        </w:rPr>
        <w:t>IBAN masqués (4 derniers chiffres) · pagination ≤ 50 · répétitions sur client fictif (factures MCP réelles → draft puis delete)</w:t>
      </w:r>
    </w:p>
    <w:p>
      <w:pPr>
        <w:spacing w:before="360"/>
        <w:jc w:val="center"/>
      </w:pPr>
      <w:r>
        <w:rPr>
          <w:color w:val="5A5670"/>
          <w:sz w:val="17"/>
        </w:rPr>
        <w:t>qonto-support-cashdesk · Documentation FR (pilotage) · Hackathon Qonto × Anthropic MCP · juillet 2026 · Livrable PR : SKILL.md · Version jury : doc-qonto-support-cashdesk.en.docx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