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qonto-crm-truth</w:t>
      </w:r>
    </w:p>
    <w:p>
      <w:pPr>
        <w:jc w:val="center"/>
      </w:pPr>
      <w:r>
        <w:rPr>
          <w:b/>
          <w:color w:val="1D1B29"/>
          <w:sz w:val="26"/>
        </w:rPr>
        <w:t>Le CRM qui ne ment plus — la banque comme source de vérité, écrite dans HubSpot ou Airtable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Multi-MCP : Qonto + HubSpot/Airtable  ·  Matching toujours confirmé  ·  Zéro écriture Qonto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Dans le CRM, un deal « Closed Won » ressemble à du chiffre d'affaires. Tant que l'argent n'est pas sur le compte, c'est une fiction — et les commerciaux priorisent sur des chiffres que la banque n'a jamais confirmés. Le skill réconcilie les fiches CRM (HubSpot ou Airtable) avec la vérité bancaire Qonto :</w:t>
      </w:r>
    </w:p>
    <w:p>
      <w:pPr>
        <w:pStyle w:val="ListBullet"/>
        <w:spacing w:after="60"/>
      </w:pPr>
      <w:r>
        <w:rPr>
          <w:sz w:val="21"/>
        </w:rPr>
        <w:t>1. Deals « won » jamais encaissés — chaque deal gagné sans un euro correspondant sur le compte, listé avec montant et ancienneté</w:t>
      </w:r>
    </w:p>
    <w:p>
      <w:pPr>
        <w:pStyle w:val="ListBullet"/>
        <w:spacing w:after="60"/>
      </w:pPr>
      <w:r>
        <w:rPr>
          <w:sz w:val="21"/>
        </w:rPr>
        <w:t>2. CA réel, LTV &amp; délais constatés — le chiffre encaissé (pas déclaré), la LTV cash, le délai moyen observé « paie à J+X », la date du dernier encaissement</w:t>
      </w:r>
    </w:p>
    <w:p>
      <w:pPr>
        <w:pStyle w:val="ListBullet"/>
        <w:spacing w:after="60"/>
      </w:pPr>
      <w:r>
        <w:rPr>
          <w:sz w:val="21"/>
        </w:rPr>
        <w:t>3. Score de fiabilité payeur A/B/C — calculé depuis la banque, formule affichée, jamais de score deviné (moins de 2 factures payées → non noté)</w:t>
      </w:r>
    </w:p>
    <w:p>
      <w:pPr>
        <w:pStyle w:val="ListBullet"/>
        <w:spacing w:after="60"/>
      </w:pPr>
      <w:r>
        <w:rPr>
          <w:sz w:val="21"/>
        </w:rPr>
        <w:t>4. Écriture dans le CRM — propriétés custom HubSpot ou colonnes Airtable, après un rapprochement fiche CRM ↔ client Qonto toujours montré et confirmé, jamais silencieux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Universel — aucune règle fiscale locale : identique pour tous les pays Qonto (FR, DE, ES, IT, AT, NL, BE, PT)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MCP HubSpot ou Airtable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Le CRM — requis pour l'écriture. Sans lui : mode dégradé, rapport « clients Qonto scorés » dans la conversation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Requis pour écrire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Factures clients dans Qonto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Ancrent délais et matching ; sans elles, analyse par contrepartie des crédits, annoncée comme telle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Historique ≥ 6 mois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En dessous : dégradation honnête (scores « non noté » + avertissement)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(zéro écriture Qonto, écriture CRM confirmée)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Graphies multiples fusionnées : « ACME STUDIO », « Acme Studio SARL »… normalisées (casse, accents, suffixes juridiques) et présentées comme UN client dans le tableau de correspondance</w:t>
      </w:r>
    </w:p>
    <w:p>
      <w:pPr>
        <w:pStyle w:val="ListBullet"/>
        <w:spacing w:after="60"/>
      </w:pPr>
      <w:r>
        <w:rPr>
          <w:sz w:val="21"/>
        </w:rPr>
        <w:t>Fiche CRM sans client Qonto (ou l'inverse) → listée « non matchée », exclue des écritures, jamais forcée</w:t>
      </w:r>
    </w:p>
    <w:p>
      <w:pPr>
        <w:pStyle w:val="ListBullet"/>
        <w:spacing w:after="60"/>
      </w:pPr>
      <w:r>
        <w:rPr>
          <w:sz w:val="21"/>
        </w:rPr>
        <w:t>Deals sans montant → signalés non chiffrés plutôt que devinés · paiements partiels cumulés par facture · avoirs déduits du CA réel</w:t>
      </w:r>
    </w:p>
    <w:p>
      <w:pPr>
        <w:pStyle w:val="ListBullet"/>
        <w:spacing w:after="60"/>
      </w:pPr>
      <w:r>
        <w:rPr>
          <w:sz w:val="21"/>
        </w:rPr>
        <w:t>Moins de 2 factures payées → score « non noté » avec la raison — jamais de note inventée</w:t>
      </w:r>
    </w:p>
    <w:p>
      <w:pPr>
        <w:pStyle w:val="ListBullet"/>
        <w:spacing w:after="60"/>
      </w:pPr>
      <w:r>
        <w:rPr>
          <w:sz w:val="21"/>
        </w:rPr>
        <w:t>Pas de CRM connecté → annoncé clairement, rapport « clients Qonto scorés » livré en conversation (déjà utile)</w:t>
      </w:r>
    </w:p>
    <w:p>
      <w:pPr>
        <w:pStyle w:val="ListBullet"/>
        <w:spacing w:after="60"/>
      </w:pPr>
      <w:r>
        <w:rPr>
          <w:sz w:val="21"/>
        </w:rPr>
        <w:t>Compte vide : rien d'inventé — le skill dit ce qu'il ne peut pas calculer · pagination ≤ 50 partout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 Qonto sans risque, écriture CRM derrière matching confirmé + aperçu approuvé</w:t>
      </w:r>
    </w:p>
    <w:p>
      <w:r>
        <w:rPr>
          <w:b/>
          <w:i w:val="0"/>
          <w:sz w:val="21"/>
        </w:rPr>
        <w:t>🔒 Zéro écriture bancaire : côté Qonto, le skill est en lecture pure — il ne peut pas toucher à l'argent. Les seules écritures visent le CRM, derrière deux verrous : le rapprochement fiche CRM ↔ client Qonto toujours montré et confirmé (jamais silencieux), puis l'aperçu exact de chaque valeur, approuvé explicitement dans la conversation.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🅰️ Le score payeur (formule affichée, jamais boîte noire)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3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8277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Définition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</w:pPr>
            <w:r>
              <w:rPr>
                <w:b/>
                <w:sz w:val="19"/>
              </w:rPr>
              <w:t>A</w:t>
            </w:r>
          </w:p>
        </w:tc>
        <w:tc>
          <w:tcPr>
            <w:tcW w:type="dxa" w:w="8277"/>
          </w:tcPr>
          <w:p>
            <w:pPr>
              <w:keepNext/>
            </w:pPr>
            <w:r>
              <w:rPr>
                <w:sz w:val="19"/>
              </w:rPr>
              <w:t>Règlement médian dans les 5 jours après l'échéance, aucun impayé en cours</w:t>
            </w:r>
          </w:p>
        </w:tc>
      </w:tr>
      <w:tr>
        <w:trPr>
          <w:cantSplit/>
        </w:trPr>
        <w:tc>
          <w:tcPr>
            <w:tcW w:type="dxa" w:w="136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B</w:t>
            </w:r>
          </w:p>
        </w:tc>
        <w:tc>
          <w:tcPr>
            <w:tcW w:type="dxa" w:w="8277"/>
            <w:shd w:val="clear" w:fill="F1EDFF"/>
          </w:tcPr>
          <w:p>
            <w:pPr>
              <w:keepNext/>
            </w:pPr>
            <w:r>
              <w:rPr>
                <w:sz w:val="19"/>
              </w:rPr>
              <w:t>Paie toujours, mais en retard — retard médian ≤ 30 jours après échéance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</w:pPr>
            <w:r>
              <w:rPr>
                <w:b/>
                <w:sz w:val="19"/>
              </w:rPr>
              <w:t>C</w:t>
            </w:r>
          </w:p>
        </w:tc>
        <w:tc>
          <w:tcPr>
            <w:tcW w:type="dxa" w:w="8277"/>
          </w:tcPr>
          <w:p>
            <w:pPr>
              <w:keepNext/>
            </w:pPr>
            <w:r>
              <w:rPr>
                <w:sz w:val="19"/>
              </w:rPr>
              <w:t>Retard médian &gt; 30 jours, ou facture impayée &gt; 60 jours, ou deal « won » jamais encaissé</w:t>
            </w:r>
          </w:p>
        </w:tc>
      </w:tr>
      <w:tr>
        <w:trPr>
          <w:cantSplit/>
        </w:trPr>
        <w:tc>
          <w:tcPr>
            <w:tcW w:type="dxa" w:w="1361"/>
            <w:shd w:val="clear" w:fill="F1EDFF"/>
          </w:tcPr>
          <w:p>
            <w:r>
              <w:rPr>
                <w:b/>
                <w:sz w:val="19"/>
              </w:rPr>
              <w:t>—</w:t>
            </w:r>
          </w:p>
        </w:tc>
        <w:tc>
          <w:tcPr>
            <w:tcW w:type="dxa" w:w="8277"/>
            <w:shd w:val="clear" w:fill="F1EDFF"/>
          </w:tcPr>
          <w:p>
            <w:r>
              <w:rPr>
                <w:sz w:val="19"/>
              </w:rPr>
              <w:t>Moins de 2 factures payées → non noté (jamais de score deviné)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⚠️ Le score décrit le comportement de paiement observé sur ce compte — pas une solvabilité générale ; rappelé dans chaque rapport.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✍️ Ce que le skill écrit dans le CRM (champs dédiés, exemples inventés)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83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419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Contenu</w:t>
            </w:r>
          </w:p>
        </w:tc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Exemple (inventé)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>
              <w:rPr>
                <w:b/>
                <w:sz w:val="19"/>
              </w:rPr>
              <w:t>CA réel (banque)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Cash encaissé sur la période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24 300 €</w:t>
            </w:r>
          </w:p>
        </w:tc>
      </w:tr>
      <w:tr>
        <w:trPr>
          <w:cantSplit/>
        </w:trPr>
        <w:tc>
          <w:tcPr>
            <w:tcW w:type="dxa" w:w="2835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LTV (banque)</w:t>
            </w:r>
          </w:p>
        </w:tc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sz w:val="19"/>
              </w:rPr>
              <w:t>Cash encaissé depuis toujours</w:t>
            </w:r>
          </w:p>
        </w:tc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sz w:val="19"/>
              </w:rPr>
              <w:t>61 750 €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>
              <w:rPr>
                <w:b/>
                <w:sz w:val="19"/>
              </w:rPr>
              <w:t>Délai moyen constaté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Médiane de J+X (émission → encaissement)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J+38</w:t>
            </w:r>
          </w:p>
        </w:tc>
      </w:tr>
      <w:tr>
        <w:trPr>
          <w:cantSplit/>
        </w:trPr>
        <w:tc>
          <w:tcPr>
            <w:tcW w:type="dxa" w:w="2835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Score payeur</w:t>
            </w:r>
          </w:p>
        </w:tc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sz w:val="19"/>
              </w:rPr>
              <w:t>A / B / C / non noté</w:t>
            </w:r>
          </w:p>
        </w:tc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>
              <w:rPr>
                <w:b/>
                <w:sz w:val="19"/>
              </w:rPr>
              <w:t>Dernier encaissement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Date du dernier crédit rattaché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12/05/2026</w:t>
            </w:r>
          </w:p>
        </w:tc>
      </w:tr>
      <w:tr>
        <w:trPr>
          <w:cantSplit/>
        </w:trPr>
        <w:tc>
          <w:tcPr>
            <w:tcW w:type="dxa" w:w="2835"/>
            <w:shd w:val="clear" w:fill="F1EDFF"/>
          </w:tcPr>
          <w:p>
            <w:r>
              <w:rPr>
                <w:b/>
                <w:sz w:val="19"/>
              </w:rPr>
              <w:t>Deals won non encaissés</w:t>
            </w:r>
          </w:p>
        </w:tc>
        <w:tc>
          <w:tcPr>
            <w:tcW w:type="dxa" w:w="4195"/>
            <w:shd w:val="clear" w:fill="F1EDFF"/>
          </w:tcPr>
          <w:p>
            <w:r>
              <w:rPr>
                <w:sz w:val="19"/>
              </w:rPr>
              <w:t>Drapeau + montant cumulé</w:t>
            </w:r>
          </w:p>
        </w:tc>
        <w:tc>
          <w:tcPr>
            <w:tcW w:type="dxa" w:w="2608"/>
            <w:shd w:val="clear" w:fill="F1EDFF"/>
          </w:tcPr>
          <w:p>
            <w:r>
              <w:rPr>
                <w:sz w:val="19"/>
              </w:rPr>
              <w:t>⚠️ 2 deals · 9 800 €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Côté Airtable : create_field pour les colonnes manquantes puis update_records_for_table par lots. Côté HubSpot : propriétés custom équivalentes. Jamais d'écrasement des champs natifs du CRM.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: clients scorés, deals non encaissés, correspondances, bilan d'écriture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Écriture CRM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Propriétés custom HubSpot / colonnes Airtable (champs dédiés)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Après matching confirmé + go explicite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One-pager HTML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Classement CRM vs classement banque, distribution des scores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Si l'hôte affiche les fichiers ; repli sur tableaux sinon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le mensonge du CRM → vérité bancaire &amp; matching confirmé → scores et écarts → l'écriture dans le CRM après confirmation → mode dégradé sans CRM. Toutes les données de démo sont inventées.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Relance des deals non encaissés via qonto-invoice-chaser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Cross-skill naturel — l'un découvre, l'autre agit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Score payeur au moment du devis (list_quotes)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Alerter avant de signer un payeur C — la vérité quand elle sert le plus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Historique du score (colonne datée)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Voir les clients qui glissent de A vers C ; même garde-fou d'écriture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Autres CRM (Notion, Salesforce…) par détection dynamique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Même logique : lire, matcher, confirmer, écrire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Zéro écriture Qonto — lecture pure côté banque ; les seules écritures visent le CRM</w:t>
      </w:r>
    </w:p>
    <w:p>
      <w:pPr>
        <w:pStyle w:val="ListBullet"/>
        <w:spacing w:after="60"/>
      </w:pPr>
      <w:r>
        <w:rPr>
          <w:sz w:val="21"/>
        </w:rPr>
        <w:t>JAMAIS d'écriture CRM sans (a) tableau de correspondance confirmé et (b) go explicite sur un aperçu exact ; jamais présentée comme faite si elle a échoué ou été partielle</w:t>
      </w:r>
    </w:p>
    <w:p>
      <w:pPr>
        <w:pStyle w:val="ListBullet"/>
        <w:spacing w:after="60"/>
      </w:pPr>
      <w:r>
        <w:rPr>
          <w:sz w:val="21"/>
        </w:rPr>
        <w:t>Rapprochement assisté, jamais silencieux — les paires ambiguës deviennent des questions</w:t>
      </w:r>
    </w:p>
    <w:p>
      <w:pPr>
        <w:pStyle w:val="ListBullet"/>
        <w:spacing w:after="60"/>
      </w:pPr>
      <w:r>
        <w:rPr>
          <w:sz w:val="21"/>
        </w:rPr>
        <w:t>Dégradation honnête : &lt; 2 factures payées → non noté · sans factures → analyse par contrepartie · sans CRM → rapport en conversation</w:t>
      </w:r>
    </w:p>
    <w:p>
      <w:pPr>
        <w:pStyle w:val="ListBullet"/>
        <w:spacing w:after="60"/>
      </w:pPr>
      <w:r>
        <w:rPr>
          <w:sz w:val="21"/>
        </w:rPr>
        <w:t>IBAN masqués (4 derniers chiffres) · pagination ≤ 50 · répétitions sur base Airtable dupliquée ou champs de test (les écritures CRM sont réelles)</w:t>
      </w:r>
    </w:p>
    <w:p>
      <w:pPr>
        <w:spacing w:before="360"/>
        <w:jc w:val="center"/>
      </w:pPr>
      <w:r>
        <w:rPr>
          <w:color w:val="5A5670"/>
          <w:sz w:val="17"/>
        </w:rPr>
        <w:t>qonto-crm-truth · Documentation FR (pilotage) · Hackathon Qonto × Anthropic MCP · juillet 2026 · Livrable PR : SKILL.md · Version jury : doc-qonto-crm-truth.en.docx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